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仿宋" w:hAnsi="仿宋" w:eastAsia="仿宋" w:cs="仿宋"/>
          <w:b/>
          <w:sz w:val="28"/>
          <w:szCs w:val="28"/>
          <w:lang w:val="en-US" w:eastAsia="zh-CN"/>
        </w:rPr>
      </w:pPr>
    </w:p>
    <w:p>
      <w:pPr>
        <w:pStyle w:val="4"/>
        <w:keepNext w:val="0"/>
        <w:keepLines w:val="0"/>
        <w:widowControl/>
        <w:suppressLineNumbers w:val="0"/>
        <w:spacing w:before="0" w:beforeAutospacing="0" w:after="0" w:afterAutospacing="0"/>
        <w:ind w:left="0" w:right="0" w:firstLine="0"/>
        <w:rPr>
          <w:b/>
          <w:bCs/>
        </w:rPr>
      </w:pPr>
      <w:r>
        <w:rPr>
          <w:b/>
          <w:bCs/>
        </w:rPr>
        <w:t>附件</w:t>
      </w:r>
      <w:r>
        <w:rPr>
          <w:rFonts w:hint="eastAsia"/>
          <w:b/>
          <w:bCs/>
          <w:lang w:eastAsia="zh-CN"/>
        </w:rPr>
        <w:t>一</w:t>
      </w:r>
      <w:r>
        <w:rPr>
          <w:b/>
          <w:bCs/>
        </w:rPr>
        <w:t>：</w:t>
      </w:r>
    </w:p>
    <w:p>
      <w:pPr>
        <w:pStyle w:val="4"/>
        <w:keepNext w:val="0"/>
        <w:keepLines w:val="0"/>
        <w:widowControl/>
        <w:suppressLineNumbers w:val="0"/>
        <w:spacing w:before="0" w:beforeAutospacing="0" w:after="0" w:afterAutospacing="0"/>
        <w:ind w:left="0" w:right="0" w:firstLine="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学生宿舍公共通道LED（室内）</w:t>
      </w:r>
      <w:r>
        <w:rPr>
          <w:rFonts w:hint="eastAsia" w:ascii="方正小标宋简体" w:hAnsi="方正小标宋简体" w:eastAsia="方正小标宋简体" w:cs="方正小标宋简体"/>
          <w:sz w:val="44"/>
          <w:szCs w:val="44"/>
          <w:lang w:val="en-US" w:eastAsia="zh-CN"/>
        </w:rPr>
        <w:t>P</w:t>
      </w:r>
      <w:r>
        <w:rPr>
          <w:rFonts w:hint="eastAsia" w:ascii="方正小标宋简体" w:hAnsi="方正小标宋简体" w:eastAsia="方正小标宋简体" w:cs="方正小标宋简体"/>
          <w:sz w:val="44"/>
          <w:szCs w:val="44"/>
        </w:rPr>
        <w:t>2.5尺寸参数</w:t>
      </w:r>
    </w:p>
    <w:tbl>
      <w:tblPr>
        <w:tblStyle w:val="6"/>
        <w:tblpPr w:leftFromText="180" w:rightFromText="180" w:vertAnchor="text" w:horzAnchor="page" w:tblpX="936" w:tblpY="640"/>
        <w:tblOverlap w:val="never"/>
        <w:tblW w:w="10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743"/>
        <w:gridCol w:w="6957"/>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numPr>
                <w:ilvl w:val="0"/>
                <w:numId w:val="0"/>
              </w:numPr>
              <w:ind w:leftChars="0"/>
              <w:jc w:val="center"/>
              <w:rPr>
                <w:rFonts w:hint="eastAsia" w:ascii="宋体" w:hAnsi="宋体" w:eastAsia="宋体" w:cs="宋体"/>
                <w:b w:val="0"/>
                <w:bCs/>
                <w:sz w:val="21"/>
                <w:szCs w:val="21"/>
                <w:vertAlign w:val="baseline"/>
                <w:lang w:eastAsia="zh-CN"/>
              </w:rPr>
            </w:pPr>
            <w:r>
              <w:rPr>
                <w:rFonts w:hint="eastAsia" w:ascii="宋体" w:hAnsi="宋体" w:eastAsia="宋体" w:cs="宋体"/>
                <w:b w:val="0"/>
                <w:bCs/>
                <w:sz w:val="21"/>
                <w:szCs w:val="21"/>
                <w:lang w:eastAsia="zh-CN"/>
              </w:rPr>
              <w:t>序号</w:t>
            </w:r>
          </w:p>
        </w:tc>
        <w:tc>
          <w:tcPr>
            <w:tcW w:w="1743" w:type="dxa"/>
            <w:vAlign w:val="center"/>
          </w:tcPr>
          <w:p>
            <w:pPr>
              <w:jc w:val="center"/>
              <w:rPr>
                <w:rFonts w:hint="eastAsia" w:ascii="宋体" w:hAnsi="宋体" w:eastAsia="宋体" w:cs="宋体"/>
                <w:b w:val="0"/>
                <w:bCs/>
                <w:sz w:val="21"/>
                <w:szCs w:val="21"/>
                <w:vertAlign w:val="baseline"/>
                <w:lang w:eastAsia="zh-CN"/>
              </w:rPr>
            </w:pPr>
            <w:r>
              <w:rPr>
                <w:rFonts w:hint="eastAsia" w:ascii="宋体" w:hAnsi="宋体" w:eastAsia="宋体" w:cs="宋体"/>
                <w:b w:val="0"/>
                <w:bCs/>
                <w:sz w:val="21"/>
                <w:szCs w:val="21"/>
                <w:vertAlign w:val="baseline"/>
                <w:lang w:eastAsia="zh-CN"/>
              </w:rPr>
              <w:t>品名</w:t>
            </w:r>
          </w:p>
        </w:tc>
        <w:tc>
          <w:tcPr>
            <w:tcW w:w="6957" w:type="dxa"/>
          </w:tcPr>
          <w:p>
            <w:pPr>
              <w:jc w:val="center"/>
              <w:rPr>
                <w:rFonts w:hint="eastAsia" w:ascii="宋体" w:hAnsi="宋体" w:eastAsia="宋体" w:cs="宋体"/>
                <w:b w:val="0"/>
                <w:bCs/>
                <w:sz w:val="21"/>
                <w:szCs w:val="21"/>
                <w:vertAlign w:val="baseline"/>
                <w:lang w:eastAsia="zh-CN"/>
              </w:rPr>
            </w:pPr>
            <w:r>
              <w:rPr>
                <w:rFonts w:hint="eastAsia" w:ascii="宋体" w:hAnsi="宋体" w:eastAsia="宋体" w:cs="宋体"/>
                <w:b w:val="0"/>
                <w:bCs/>
                <w:sz w:val="21"/>
                <w:szCs w:val="21"/>
                <w:vertAlign w:val="baseline"/>
                <w:lang w:eastAsia="zh-CN"/>
              </w:rPr>
              <w:t>型号及规格</w:t>
            </w:r>
          </w:p>
        </w:tc>
        <w:tc>
          <w:tcPr>
            <w:tcW w:w="1063" w:type="dxa"/>
            <w:vAlign w:val="center"/>
          </w:tcPr>
          <w:p>
            <w:pPr>
              <w:jc w:val="center"/>
              <w:rPr>
                <w:rFonts w:hint="eastAsia" w:ascii="宋体" w:hAnsi="宋体" w:eastAsia="宋体" w:cs="宋体"/>
                <w:b w:val="0"/>
                <w:bCs/>
                <w:sz w:val="21"/>
                <w:szCs w:val="21"/>
                <w:vertAlign w:val="baseline"/>
                <w:lang w:eastAsia="zh-CN"/>
              </w:rPr>
            </w:pPr>
            <w:r>
              <w:rPr>
                <w:rFonts w:hint="eastAsia" w:ascii="宋体" w:hAnsi="宋体" w:eastAsia="宋体" w:cs="宋体"/>
                <w:b w:val="0"/>
                <w:bCs/>
                <w:sz w:val="21"/>
                <w:szCs w:val="21"/>
                <w:vertAlign w:val="baseline"/>
                <w:lang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7" w:type="dxa"/>
            <w:vAlign w:val="center"/>
          </w:tcPr>
          <w:p>
            <w:pPr>
              <w:numPr>
                <w:ilvl w:val="0"/>
                <w:numId w:val="0"/>
              </w:numPr>
              <w:ind w:leftChars="0"/>
              <w:jc w:val="center"/>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w:t>
            </w:r>
          </w:p>
        </w:tc>
        <w:tc>
          <w:tcPr>
            <w:tcW w:w="1743" w:type="dxa"/>
            <w:vAlign w:val="center"/>
          </w:tcPr>
          <w:p>
            <w:pPr>
              <w:jc w:val="center"/>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室内全彩LED显示屏</w:t>
            </w:r>
          </w:p>
        </w:tc>
        <w:tc>
          <w:tcPr>
            <w:tcW w:w="6957" w:type="dxa"/>
          </w:tcPr>
          <w:p>
            <w:pPr>
              <w:numPr>
                <w:ilvl w:val="0"/>
                <w:numId w:val="1"/>
              </w:numPr>
              <w:spacing w:line="320" w:lineRule="exact"/>
              <w:rPr>
                <w:rFonts w:hint="eastAsia" w:ascii="宋体" w:hAnsi="宋体" w:cs="宋体"/>
                <w:sz w:val="24"/>
                <w:szCs w:val="24"/>
                <w:lang w:val="en-US" w:eastAsia="zh-CN"/>
              </w:rPr>
            </w:pPr>
            <w:r>
              <w:rPr>
                <w:rFonts w:hint="eastAsia" w:ascii="宋体" w:hAnsi="宋体" w:eastAsia="宋体" w:cs="宋体"/>
                <w:sz w:val="21"/>
                <w:szCs w:val="21"/>
                <w:lang w:val="en-US" w:eastAsia="zh-CN"/>
              </w:rPr>
              <w:t>尺寸：</w:t>
            </w:r>
            <w:r>
              <w:rPr>
                <w:rFonts w:hint="eastAsia" w:ascii="宋体" w:hAnsi="宋体" w:cs="宋体"/>
                <w:sz w:val="24"/>
                <w:szCs w:val="24"/>
                <w:lang w:val="en-US" w:eastAsia="zh-CN"/>
              </w:rPr>
              <w:t>L：3.92M*H：1.68M*2块</w:t>
            </w:r>
          </w:p>
          <w:p>
            <w:pPr>
              <w:spacing w:line="320" w:lineRule="exact"/>
              <w:rPr>
                <w:rFonts w:hint="eastAsia" w:ascii="宋体" w:hAnsi="宋体" w:eastAsia="宋体" w:cs="宋体"/>
                <w:sz w:val="21"/>
                <w:szCs w:val="21"/>
                <w:lang w:val="en-US" w:eastAsia="zh-CN"/>
              </w:rPr>
            </w:pPr>
            <w:r>
              <w:rPr>
                <w:rFonts w:hint="eastAsia"/>
                <w:lang w:val="en-US" w:eastAsia="zh-CN"/>
              </w:rPr>
              <w:t>2.规格P2.5</w:t>
            </w:r>
            <w:r>
              <w:rPr>
                <w:rFonts w:hint="eastAsia" w:ascii="宋体" w:hAnsi="宋体" w:eastAsia="宋体" w:cs="宋体"/>
                <w:sz w:val="24"/>
                <w:szCs w:val="24"/>
              </w:rPr>
              <w:t>室</w:t>
            </w:r>
            <w:r>
              <w:rPr>
                <w:rFonts w:hint="eastAsia" w:ascii="宋体" w:hAnsi="宋体" w:eastAsia="宋体" w:cs="宋体"/>
                <w:sz w:val="24"/>
                <w:szCs w:val="24"/>
                <w:lang w:eastAsia="zh-CN"/>
              </w:rPr>
              <w:t>内节能</w:t>
            </w:r>
            <w:r>
              <w:rPr>
                <w:rFonts w:hint="eastAsia" w:ascii="宋体" w:hAnsi="宋体" w:eastAsia="宋体" w:cs="宋体"/>
                <w:sz w:val="24"/>
                <w:szCs w:val="24"/>
              </w:rPr>
              <w:t>全彩LED屏</w:t>
            </w:r>
          </w:p>
          <w:p>
            <w:pPr>
              <w:bidi w:val="0"/>
              <w:rPr>
                <w:rFonts w:hint="eastAsia" w:ascii="宋体" w:hAnsi="宋体" w:eastAsia="宋体" w:cs="宋体"/>
                <w:sz w:val="24"/>
                <w:szCs w:val="24"/>
                <w:lang w:val="en-US" w:eastAsia="zh-CN"/>
              </w:rPr>
            </w:pPr>
            <w:r>
              <w:rPr>
                <w:rFonts w:hint="eastAsia" w:ascii="宋体" w:hAnsi="宋体" w:eastAsia="宋体" w:cs="宋体"/>
                <w:sz w:val="21"/>
                <w:szCs w:val="21"/>
                <w:lang w:val="en-US" w:eastAsia="zh-CN"/>
              </w:rPr>
              <w:t>3.像素点间距：</w:t>
            </w:r>
            <w:r>
              <w:rPr>
                <w:rFonts w:hint="eastAsia" w:ascii="宋体" w:hAnsi="宋体" w:eastAsia="宋体" w:cs="宋体"/>
                <w:sz w:val="24"/>
                <w:szCs w:val="24"/>
                <w:lang w:val="en-US" w:eastAsia="zh-CN"/>
              </w:rPr>
              <w:t>2.5±0.05mm</w:t>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4.像素密度：≥250000 Dots/m2</w:t>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5.单元板分辨率：≥12800 Dots</w:t>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6.显示效果：4K超清显示、色温均匀性好、亮度均匀性好，对比度高、色域广</w:t>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7.驱动方式：恒流驱动</w:t>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8.供电方式：支持电源均流DC4.2V～DC5V，供电支持电源双输出电压DC2.8V/DC3.8V</w:t>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9.整屏平整度：≤0.04mm</w:t>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10.模组平整度：≤0.03mm</w:t>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11.拼接缝：≤0.03mm</w:t>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12.白平衡亮度：≥600Cd/m²</w:t>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13.亮度均匀性：≥99%</w:t>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14.色度均匀性：±0.001Cx、Cy内</w:t>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15.色温：800-18000K</w:t>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16.水平视角：≥170°</w:t>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17.垂直视角：≥170°</w:t>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18.对比度：≥8000：1</w:t>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19.刷新率：≥3840Hz</w:t>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20.像素失控率：&lt;1/100000</w:t>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21.发光点中心偏距：＜0.8%</w:t>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22.峰值功耗：≤300W/m²</w:t>
            </w:r>
          </w:p>
          <w:p>
            <w:pPr>
              <w:numPr>
                <w:ilvl w:val="0"/>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23.平均功耗：≤120W/m²</w:t>
            </w:r>
          </w:p>
          <w:p>
            <w:pPr>
              <w:numPr>
                <w:ilvl w:val="0"/>
                <w:numId w:val="0"/>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光生物安全检测：无危害类：8h（30000s）曝辐中不造成光化学紫外危害（ES），并在16min（1000s）内不造成近紫外危害（EUVA），并在2.8h（10000s）内不造成对视网膜蓝光危害（LB）并在10s内不造成对视网膜热危害（LR），且在1000s内不造成对眼睛的红外辐射危害（EIR）。</w:t>
            </w:r>
          </w:p>
          <w:p>
            <w:pPr>
              <w:keepNext w:val="0"/>
              <w:keepLines w:val="0"/>
              <w:widowControl/>
              <w:numPr>
                <w:ilvl w:val="0"/>
                <w:numId w:val="0"/>
              </w:numPr>
              <w:suppressLineNumbers w:val="0"/>
              <w:ind w:leftChars="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25.滑石粉密度：2KG/m3网孔径75um使用次数：小于20次，实验时间8H。试验后检查样品无进尘现象。屏幕防尘等级符合IP6X（防尘）。</w:t>
            </w:r>
          </w:p>
          <w:p>
            <w:pPr>
              <w:numPr>
                <w:ilvl w:val="0"/>
                <w:numId w:val="0"/>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26.为不影响屏体周边人员的健康，要求投标人所投LED显示屏在正常工作中，显示屏1m范围内，前后左右4个位置噪音不大于1.4dB；所投LED显示屏观看舒适度需符合：“人眼视觉舒适度(VICO)1级，基本无疲劳感。</w:t>
            </w:r>
          </w:p>
          <w:p>
            <w:pPr>
              <w:numPr>
                <w:ilvl w:val="0"/>
                <w:numId w:val="0"/>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27.所投LED显示屏的灯管耐焊耐热：灯珠引脚无氧化,焊接正常,灯珠胶体正常,点亮正常；灯管抗静电(ESD)测试：HBM模式:ESD&gt;2000V,灯珠点亮无异常；灯管红墨水试验：纯红墨水常温浸泡24h,无渗透,灯管气密性良好。</w:t>
            </w:r>
          </w:p>
          <w:p>
            <w:pPr>
              <w:numPr>
                <w:ilvl w:val="0"/>
                <w:numId w:val="0"/>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28.支持自动GAMMA校正技术，14bit自动调节，通过构造非线性校正曲线和色坐标变换系数矩阵实现了显示效果的不断改善，各项重要指标如色彩还原性、色温调节范围、亮度均匀性、色度均匀性、刷新率、换帧频率等，均符合广电级标准。</w:t>
            </w:r>
          </w:p>
          <w:p>
            <w:pPr>
              <w:bidi w:val="0"/>
              <w:rPr>
                <w:rFonts w:hint="eastAsia"/>
                <w:lang w:val="en-US" w:eastAsia="zh-CN"/>
              </w:rPr>
            </w:pPr>
            <w:r>
              <w:rPr>
                <w:rFonts w:hint="eastAsia"/>
                <w:lang w:val="en-US" w:eastAsia="zh-CN"/>
              </w:rPr>
              <w:t>29.具备防蓝光护眼功能，蓝光辐射能量≤20%。蓝光辐射能量值对人眼视网膜无伤害，LED显示屏蓝光辐亮度≤80W.m-2.sr-1,符合肉眼观看标准。</w:t>
            </w:r>
          </w:p>
          <w:p>
            <w:pPr>
              <w:bidi w:val="0"/>
              <w:rPr>
                <w:rFonts w:hint="default"/>
                <w:lang w:val="en-US" w:eastAsia="zh-CN"/>
              </w:rPr>
            </w:pPr>
            <w:r>
              <w:rPr>
                <w:rFonts w:hint="eastAsia"/>
                <w:lang w:val="en-US" w:eastAsia="zh-CN"/>
              </w:rPr>
              <w:t>30.要求投标人所投LED显示屏支持DVI、VGA输入、支持HDMI视频输入、支持视频PAL/NTSC制式自适应、支持复合视频信号、支持USB输入、支持IP输入、支持CVBS/DP/HDBASE输入、支持光纤/网络等接口输入。</w:t>
            </w:r>
          </w:p>
          <w:p>
            <w:pPr>
              <w:keepNext w:val="0"/>
              <w:keepLines w:val="0"/>
              <w:widowControl/>
              <w:suppressLineNumbers w:val="0"/>
              <w:jc w:val="left"/>
              <w:textAlignment w:val="center"/>
              <w:rPr>
                <w:rFonts w:hint="default" w:ascii="宋体" w:hAnsi="宋体" w:eastAsia="宋体" w:cs="宋体"/>
                <w:b w:val="0"/>
                <w:bCs/>
                <w:sz w:val="21"/>
                <w:szCs w:val="21"/>
                <w:vertAlign w:val="baseline"/>
                <w:lang w:val="en-US" w:eastAsia="zh-CN"/>
              </w:rPr>
            </w:pPr>
            <w:r>
              <w:rPr>
                <w:rFonts w:hint="eastAsia" w:ascii="宋体" w:hAnsi="宋体" w:eastAsia="宋体" w:cs="宋体"/>
                <w:b/>
                <w:bCs/>
                <w:color w:val="auto"/>
                <w:sz w:val="21"/>
                <w:szCs w:val="21"/>
                <w:lang w:val="en-US" w:eastAsia="zh-CN"/>
              </w:rPr>
              <w:t>以上26-28的技术参数需提供具有CNAS或CMA标识的第三方检测报告复印件加盖制造商公章佐证,并提供制造商出具的售后承诺服务函、产品授权书原件加盖制造商鲜章佐证，未提供或不满足则不响应。</w:t>
            </w:r>
          </w:p>
        </w:tc>
        <w:tc>
          <w:tcPr>
            <w:tcW w:w="1063" w:type="dxa"/>
            <w:vAlign w:val="center"/>
          </w:tcPr>
          <w:p>
            <w:pPr>
              <w:jc w:val="center"/>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2" w:hRule="atLeast"/>
        </w:trPr>
        <w:tc>
          <w:tcPr>
            <w:tcW w:w="657" w:type="dxa"/>
            <w:vAlign w:val="center"/>
          </w:tcPr>
          <w:p>
            <w:pPr>
              <w:numPr>
                <w:ilvl w:val="0"/>
                <w:numId w:val="0"/>
              </w:numPr>
              <w:ind w:leftChars="0"/>
              <w:jc w:val="center"/>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w:t>
            </w:r>
          </w:p>
        </w:tc>
        <w:tc>
          <w:tcPr>
            <w:tcW w:w="1743" w:type="dxa"/>
            <w:vAlign w:val="center"/>
          </w:tcPr>
          <w:p>
            <w:pPr>
              <w:jc w:val="center"/>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数据接收卡</w:t>
            </w:r>
          </w:p>
        </w:tc>
        <w:tc>
          <w:tcPr>
            <w:tcW w:w="6957" w:type="dxa"/>
          </w:tcPr>
          <w:p>
            <w:pPr>
              <w:pStyle w:val="9"/>
              <w:ind w:left="0" w:leftChars="0" w:firstLine="0" w:firstLineChars="0"/>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1.集成16路HUB75接口，无需再配转接板，更方便，成本更低</w:t>
            </w:r>
          </w:p>
          <w:p>
            <w:pPr>
              <w:pStyle w:val="9"/>
              <w:ind w:left="0" w:leftChars="0" w:firstLine="0" w:firstLineChars="0"/>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2.减少接插连接件，减少故障点，故障率更低；</w:t>
            </w:r>
          </w:p>
          <w:p>
            <w:pPr>
              <w:pStyle w:val="9"/>
              <w:ind w:left="0" w:leftChars="0" w:firstLine="0" w:firstLineChars="0"/>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3.支持常规芯片实现高刷新、高灰度、高亮度</w:t>
            </w:r>
          </w:p>
          <w:p>
            <w:pPr>
              <w:pStyle w:val="9"/>
              <w:ind w:left="0" w:leftChars="0" w:firstLine="0" w:firstLineChars="0"/>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4.支持市场主流常规芯片</w:t>
            </w:r>
          </w:p>
          <w:p>
            <w:pPr>
              <w:pStyle w:val="9"/>
              <w:ind w:left="0" w:leftChars="0" w:firstLine="0" w:firstLineChars="0"/>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5.全新灰度引擎，低灰度表现更佳</w:t>
            </w:r>
          </w:p>
          <w:p>
            <w:pPr>
              <w:pStyle w:val="9"/>
              <w:ind w:left="0" w:leftChars="0" w:firstLine="0" w:firstLineChars="0"/>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6.可消除单元板设计引起的某行偏暗、低灰偏红、鬼影等细节问题</w:t>
            </w:r>
          </w:p>
          <w:p>
            <w:pPr>
              <w:pStyle w:val="9"/>
              <w:ind w:left="0" w:leftChars="0" w:firstLine="0" w:firstLineChars="0"/>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7.支持高精度的色度、亮度一体化逐点校正</w:t>
            </w:r>
          </w:p>
          <w:p>
            <w:pPr>
              <w:pStyle w:val="9"/>
              <w:ind w:left="0" w:leftChars="0" w:firstLine="0" w:firstLineChars="0"/>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8.支持静态到128扫之间的任意扫描类型</w:t>
            </w:r>
          </w:p>
          <w:p>
            <w:pPr>
              <w:pStyle w:val="9"/>
              <w:ind w:left="0" w:leftChars="0" w:firstLine="0" w:firstLineChars="0"/>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9.支持灵活抽点、抽行抽列、数据组偏移，可轻松实现各种异型屏、创意显示屏</w:t>
            </w:r>
          </w:p>
          <w:p>
            <w:pPr>
              <w:pStyle w:val="9"/>
              <w:ind w:left="0" w:leftChars="0" w:firstLine="0" w:firstLineChars="0"/>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10.单卡支持24组RGB信号输出</w:t>
            </w:r>
          </w:p>
        </w:tc>
        <w:tc>
          <w:tcPr>
            <w:tcW w:w="1063" w:type="dxa"/>
            <w:vAlign w:val="center"/>
          </w:tcPr>
          <w:p>
            <w:pPr>
              <w:jc w:val="center"/>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7" w:type="dxa"/>
            <w:vAlign w:val="center"/>
          </w:tcPr>
          <w:p>
            <w:pPr>
              <w:numPr>
                <w:ilvl w:val="0"/>
                <w:numId w:val="0"/>
              </w:numPr>
              <w:ind w:leftChars="0"/>
              <w:jc w:val="center"/>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3</w:t>
            </w:r>
          </w:p>
        </w:tc>
        <w:tc>
          <w:tcPr>
            <w:tcW w:w="1743" w:type="dxa"/>
            <w:vAlign w:val="center"/>
          </w:tcPr>
          <w:p>
            <w:pPr>
              <w:ind w:left="240" w:hanging="210" w:hangingChars="100"/>
              <w:jc w:val="center"/>
              <w:rPr>
                <w:rFonts w:hint="default" w:ascii="宋体" w:hAnsi="宋体" w:eastAsia="宋体" w:cs="宋体"/>
                <w:b w:val="0"/>
                <w:bCs/>
                <w:sz w:val="21"/>
                <w:szCs w:val="21"/>
                <w:vertAlign w:val="baseline"/>
                <w:lang w:val="en-US" w:eastAsia="zh-CN"/>
              </w:rPr>
            </w:pPr>
            <w:r>
              <w:rPr>
                <w:rFonts w:hint="eastAsia" w:ascii="宋体" w:hAnsi="宋体" w:eastAsia="宋体" w:cs="宋体"/>
                <w:b w:val="0"/>
                <w:bCs w:val="0"/>
                <w:color w:val="auto"/>
                <w:sz w:val="21"/>
                <w:szCs w:val="21"/>
                <w:highlight w:val="none"/>
                <w:shd w:val="clear"/>
                <w:lang w:eastAsia="zh-CN"/>
              </w:rPr>
              <w:t>信号采集分离器</w:t>
            </w:r>
          </w:p>
        </w:tc>
        <w:tc>
          <w:tcPr>
            <w:tcW w:w="6957" w:type="dxa"/>
          </w:tcPr>
          <w:p>
            <w:pPr>
              <w:bidi w:val="0"/>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1.最大输入分辨率1920*1200@60Hz，支持分辨率任意设置；</w:t>
            </w:r>
          </w:p>
          <w:p>
            <w:pPr>
              <w:bidi w:val="0"/>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2.最大带载260万像素</w:t>
            </w:r>
          </w:p>
          <w:p>
            <w:pPr>
              <w:bidi w:val="0"/>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3.支持视频源任意切换，任意缩放；</w:t>
            </w:r>
          </w:p>
          <w:p>
            <w:pPr>
              <w:bidi w:val="0"/>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4.支持三画面显示，位置、大小可自由调节；</w:t>
            </w:r>
          </w:p>
          <w:p>
            <w:pPr>
              <w:bidi w:val="0"/>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5.自带音频输入和音频输出功能，视频声音可以音画同步。</w:t>
            </w:r>
          </w:p>
          <w:p>
            <w:pPr>
              <w:bidi w:val="0"/>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6.支持U盘内容的播放功能，支持Word文档、表格、PPT播放功能，会议和演讲更加方便。</w:t>
            </w:r>
          </w:p>
          <w:p>
            <w:pPr>
              <w:bidi w:val="0"/>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 xml:space="preserve">7.自带手机或平板电脑无线投屏功能，无需外接任何设备。自带音频输入和音频输出功能，视频声音可以音画同步。 </w:t>
            </w:r>
          </w:p>
          <w:p>
            <w:pPr>
              <w:keepNext w:val="0"/>
              <w:keepLines w:val="0"/>
              <w:widowControl/>
              <w:suppressLineNumbers w:val="0"/>
              <w:jc w:val="left"/>
              <w:textAlignment w:val="center"/>
              <w:rPr>
                <w:rFonts w:hint="eastAsia" w:ascii="宋体" w:hAnsi="宋体" w:eastAsia="宋体" w:cs="宋体"/>
                <w:b/>
                <w:bCs w:val="0"/>
                <w:sz w:val="21"/>
                <w:szCs w:val="21"/>
                <w:vertAlign w:val="baseline"/>
                <w:lang w:eastAsia="zh-CN"/>
              </w:rPr>
            </w:pPr>
            <w:r>
              <w:rPr>
                <w:rFonts w:hint="eastAsia" w:ascii="宋体" w:hAnsi="宋体" w:eastAsia="宋体" w:cs="宋体"/>
                <w:b w:val="0"/>
                <w:bCs/>
                <w:sz w:val="21"/>
                <w:szCs w:val="21"/>
                <w:vertAlign w:val="baseline"/>
                <w:lang w:val="en-US" w:eastAsia="zh-CN"/>
              </w:rPr>
              <w:t>8.</w:t>
            </w:r>
            <w:r>
              <w:rPr>
                <w:rFonts w:hint="eastAsia" w:ascii="宋体" w:hAnsi="宋体" w:eastAsia="宋体" w:cs="宋体"/>
                <w:b w:val="0"/>
                <w:bCs/>
                <w:sz w:val="21"/>
                <w:szCs w:val="21"/>
                <w:vertAlign w:val="baseline"/>
                <w:lang w:eastAsia="zh-CN"/>
              </w:rPr>
              <w:t>具有丰富的信号接口，集成3路HDMI，1路VGA，1路DP1.2，1路AUDIO OUT，4路USB，1路RS232，1路WAN口、4路网口输出、2路SDI、1路内置麦克风、1路WiFi天线、1路红外接口、2路HDMI OUT、15个切换按钮，1个开关控制，1个飞梭控制器。信号接入后可以对画质进行对比度分离提升，具有去雾、增亮、像素修复、画面防撕裂变形等效果增强功能</w:t>
            </w:r>
            <w:r>
              <w:rPr>
                <w:rFonts w:hint="eastAsia" w:ascii="宋体" w:hAnsi="宋体" w:eastAsia="宋体" w:cs="宋体"/>
                <w:b/>
                <w:bCs w:val="0"/>
                <w:sz w:val="21"/>
                <w:szCs w:val="21"/>
                <w:vertAlign w:val="baseline"/>
                <w:lang w:eastAsia="zh-CN"/>
              </w:rPr>
              <w:t>（提供具有CNAS、CMA认可标识的第三方权威检测机构出具的产品检验报告加盖生产厂家鲜章予以佐证）</w:t>
            </w:r>
          </w:p>
          <w:p>
            <w:pPr>
              <w:keepNext w:val="0"/>
              <w:keepLines w:val="0"/>
              <w:widowControl/>
              <w:suppressLineNumbers w:val="0"/>
              <w:jc w:val="left"/>
              <w:textAlignment w:val="center"/>
              <w:rPr>
                <w:rFonts w:hint="eastAsia" w:ascii="宋体" w:hAnsi="宋体" w:eastAsia="宋体" w:cs="宋体"/>
                <w:b w:val="0"/>
                <w:bCs/>
                <w:sz w:val="21"/>
                <w:szCs w:val="21"/>
                <w:vertAlign w:val="baseline"/>
                <w:lang w:eastAsia="zh-CN"/>
              </w:rPr>
            </w:pPr>
            <w:r>
              <w:rPr>
                <w:rFonts w:hint="eastAsia" w:ascii="宋体" w:hAnsi="宋体" w:eastAsia="宋体" w:cs="宋体"/>
                <w:b w:val="0"/>
                <w:bCs/>
                <w:sz w:val="21"/>
                <w:szCs w:val="21"/>
                <w:vertAlign w:val="baseline"/>
                <w:lang w:val="en-US" w:eastAsia="zh-CN"/>
              </w:rPr>
              <w:t>9.</w:t>
            </w:r>
            <w:r>
              <w:rPr>
                <w:rFonts w:hint="eastAsia" w:ascii="宋体" w:hAnsi="宋体" w:eastAsia="宋体" w:cs="宋体"/>
                <w:b w:val="0"/>
                <w:bCs/>
                <w:sz w:val="21"/>
                <w:szCs w:val="21"/>
                <w:vertAlign w:val="baseline"/>
                <w:lang w:eastAsia="zh-CN"/>
              </w:rPr>
              <w:t>支持红外和WiFi无线功能，可以通过遥控器对处理器的网络节目进行操作和选择，海量内容随时切换。</w:t>
            </w:r>
            <w:r>
              <w:rPr>
                <w:rFonts w:hint="eastAsia" w:ascii="宋体" w:hAnsi="宋体" w:eastAsia="宋体" w:cs="宋体"/>
                <w:b/>
                <w:bCs w:val="0"/>
                <w:sz w:val="21"/>
                <w:szCs w:val="21"/>
                <w:vertAlign w:val="baseline"/>
                <w:lang w:eastAsia="zh-CN"/>
              </w:rPr>
              <w:t>（提供具有CNAS、CMA认可标识的第三方权威检测机构出具的产品检验报告加盖生产厂家鲜章予以佐证）</w:t>
            </w:r>
          </w:p>
          <w:p>
            <w:pPr>
              <w:keepNext w:val="0"/>
              <w:keepLines w:val="0"/>
              <w:widowControl/>
              <w:suppressLineNumbers w:val="0"/>
              <w:jc w:val="left"/>
              <w:textAlignment w:val="center"/>
              <w:rPr>
                <w:rFonts w:hint="eastAsia" w:ascii="宋体" w:hAnsi="宋体" w:eastAsia="宋体" w:cs="宋体"/>
                <w:b w:val="0"/>
                <w:bCs/>
                <w:sz w:val="21"/>
                <w:szCs w:val="21"/>
                <w:vertAlign w:val="baseline"/>
                <w:lang w:eastAsia="zh-CN"/>
              </w:rPr>
            </w:pPr>
            <w:r>
              <w:rPr>
                <w:rFonts w:hint="eastAsia" w:ascii="宋体" w:hAnsi="宋体" w:eastAsia="宋体" w:cs="宋体"/>
                <w:b w:val="0"/>
                <w:bCs/>
                <w:sz w:val="21"/>
                <w:szCs w:val="21"/>
                <w:vertAlign w:val="baseline"/>
                <w:lang w:val="en-US" w:eastAsia="zh-CN"/>
              </w:rPr>
              <w:t>10.</w:t>
            </w:r>
            <w:r>
              <w:rPr>
                <w:rFonts w:hint="eastAsia" w:ascii="宋体" w:hAnsi="宋体" w:eastAsia="宋体" w:cs="宋体"/>
                <w:b w:val="0"/>
                <w:bCs/>
                <w:sz w:val="21"/>
                <w:szCs w:val="21"/>
                <w:vertAlign w:val="baseline"/>
                <w:lang w:eastAsia="zh-CN"/>
              </w:rPr>
              <w:t>此产品可以通过网络进行各种应用程序的下载安装，不仅可以做信号切换和处理，还能为LED显示屏增加娱乐互动功能。</w:t>
            </w:r>
            <w:r>
              <w:rPr>
                <w:rFonts w:hint="eastAsia" w:ascii="宋体" w:hAnsi="宋体" w:eastAsia="宋体" w:cs="宋体"/>
                <w:b/>
                <w:bCs w:val="0"/>
                <w:sz w:val="21"/>
                <w:szCs w:val="21"/>
                <w:vertAlign w:val="baseline"/>
                <w:lang w:eastAsia="zh-CN"/>
              </w:rPr>
              <w:t>（提供具有CNAS、CMA认可标识的第三方权威检测机构出具的产品检验报告加盖生产厂家鲜章予以佐证）</w:t>
            </w:r>
          </w:p>
        </w:tc>
        <w:tc>
          <w:tcPr>
            <w:tcW w:w="1063" w:type="dxa"/>
            <w:vAlign w:val="center"/>
          </w:tcPr>
          <w:p>
            <w:pPr>
              <w:jc w:val="center"/>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657" w:type="dxa"/>
            <w:vAlign w:val="center"/>
          </w:tcPr>
          <w:p>
            <w:pPr>
              <w:numPr>
                <w:ilvl w:val="0"/>
                <w:numId w:val="0"/>
              </w:numPr>
              <w:ind w:leftChars="0"/>
              <w:jc w:val="center"/>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4</w:t>
            </w:r>
          </w:p>
        </w:tc>
        <w:tc>
          <w:tcPr>
            <w:tcW w:w="1743" w:type="dxa"/>
            <w:vAlign w:val="center"/>
          </w:tcPr>
          <w:p>
            <w:pPr>
              <w:ind w:left="240" w:hanging="210" w:hangingChars="100"/>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开关电源</w:t>
            </w:r>
          </w:p>
        </w:tc>
        <w:tc>
          <w:tcPr>
            <w:tcW w:w="6957" w:type="dxa"/>
          </w:tcPr>
          <w:p>
            <w:pPr>
              <w:numPr>
                <w:ilvl w:val="0"/>
                <w:numId w:val="0"/>
              </w:numPr>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1.输出:直流输出电压4.5V,额定输出电流40A，输出功率200W，</w:t>
            </w:r>
          </w:p>
          <w:p>
            <w:pPr>
              <w:numPr>
                <w:ilvl w:val="0"/>
                <w:numId w:val="0"/>
              </w:numPr>
              <w:rPr>
                <w:rFonts w:hint="eastAsia" w:ascii="宋体" w:hAnsi="宋体" w:eastAsia="宋体" w:cs="宋体"/>
                <w:b w:val="0"/>
                <w:bCs/>
                <w:sz w:val="21"/>
                <w:szCs w:val="21"/>
                <w:vertAlign w:val="baseline"/>
                <w:lang w:eastAsia="zh-CN"/>
              </w:rPr>
            </w:pPr>
            <w:r>
              <w:rPr>
                <w:rFonts w:hint="eastAsia" w:ascii="宋体" w:hAnsi="宋体" w:eastAsia="宋体" w:cs="宋体"/>
                <w:b w:val="0"/>
                <w:bCs/>
                <w:sz w:val="21"/>
                <w:szCs w:val="21"/>
                <w:vertAlign w:val="baseline"/>
                <w:lang w:val="en-US" w:eastAsia="zh-CN"/>
              </w:rPr>
              <w:t>2.电压可调范围，额定输出电压±10%，电压误差±1%，线电压调整率±0.5%，负载调整率±1.0%，启动上升时间200ms 100ms 20ms输入，</w:t>
            </w:r>
          </w:p>
          <w:p>
            <w:pPr>
              <w:numPr>
                <w:ilvl w:val="0"/>
                <w:numId w:val="0"/>
              </w:numPr>
              <w:rPr>
                <w:rFonts w:hint="eastAsia" w:ascii="宋体" w:hAnsi="宋体" w:eastAsia="宋体" w:cs="宋体"/>
                <w:b w:val="0"/>
                <w:bCs/>
                <w:sz w:val="21"/>
                <w:szCs w:val="21"/>
                <w:vertAlign w:val="baseline"/>
                <w:lang w:eastAsia="zh-CN"/>
              </w:rPr>
            </w:pPr>
            <w:r>
              <w:rPr>
                <w:rFonts w:hint="eastAsia" w:ascii="宋体" w:hAnsi="宋体" w:eastAsia="宋体" w:cs="宋体"/>
                <w:b w:val="0"/>
                <w:bCs/>
                <w:sz w:val="21"/>
                <w:szCs w:val="21"/>
                <w:vertAlign w:val="baseline"/>
                <w:lang w:val="en-US" w:eastAsia="zh-CN"/>
              </w:rPr>
              <w:t>3.输入电压范围170-264VAC 240~370VDC，频率47-63HZ，效率75%，</w:t>
            </w:r>
          </w:p>
          <w:p>
            <w:pPr>
              <w:numPr>
                <w:ilvl w:val="0"/>
                <w:numId w:val="0"/>
              </w:numPr>
              <w:rPr>
                <w:rFonts w:hint="eastAsia" w:ascii="宋体" w:hAnsi="宋体" w:eastAsia="宋体" w:cs="宋体"/>
                <w:b w:val="0"/>
                <w:bCs/>
                <w:sz w:val="21"/>
                <w:szCs w:val="21"/>
                <w:vertAlign w:val="baseline"/>
                <w:lang w:eastAsia="zh-CN"/>
              </w:rPr>
            </w:pPr>
            <w:r>
              <w:rPr>
                <w:rFonts w:hint="eastAsia" w:ascii="宋体" w:hAnsi="宋体" w:eastAsia="宋体" w:cs="宋体"/>
                <w:b w:val="0"/>
                <w:bCs/>
                <w:sz w:val="21"/>
                <w:szCs w:val="21"/>
                <w:vertAlign w:val="baseline"/>
                <w:lang w:val="en-US" w:eastAsia="zh-CN"/>
              </w:rPr>
              <w:t>4.输入电流0.5A/230V，冲击电流，冷启动电流 50A/230V，漏电电流＜3.5 mA/240VAC保护过载，105-150%切断输出,自动恢复，过压115%~135%切断输出,自动恢复坏境，</w:t>
            </w:r>
          </w:p>
          <w:p>
            <w:pPr>
              <w:numPr>
                <w:ilvl w:val="0"/>
                <w:numId w:val="0"/>
              </w:numPr>
              <w:rPr>
                <w:rFonts w:hint="eastAsia" w:ascii="宋体" w:hAnsi="宋体" w:eastAsia="宋体" w:cs="宋体"/>
                <w:b w:val="0"/>
                <w:bCs/>
                <w:sz w:val="21"/>
                <w:szCs w:val="21"/>
                <w:vertAlign w:val="baseline"/>
                <w:lang w:eastAsia="zh-CN"/>
              </w:rPr>
            </w:pPr>
            <w:r>
              <w:rPr>
                <w:rFonts w:hint="eastAsia" w:ascii="宋体" w:hAnsi="宋体" w:eastAsia="宋体" w:cs="宋体"/>
                <w:b w:val="0"/>
                <w:bCs/>
                <w:sz w:val="21"/>
                <w:szCs w:val="21"/>
                <w:vertAlign w:val="baseline"/>
                <w:lang w:val="en-US" w:eastAsia="zh-CN"/>
              </w:rPr>
              <w:t>5.工作温度‘-10℃～+60℃工作湿度20%-90%RH，</w:t>
            </w:r>
          </w:p>
          <w:p>
            <w:pPr>
              <w:numPr>
                <w:ilvl w:val="0"/>
                <w:numId w:val="0"/>
              </w:numPr>
              <w:rPr>
                <w:rFonts w:hint="eastAsia" w:ascii="宋体" w:hAnsi="宋体" w:eastAsia="宋体" w:cs="宋体"/>
                <w:b w:val="0"/>
                <w:bCs/>
                <w:sz w:val="21"/>
                <w:szCs w:val="21"/>
                <w:vertAlign w:val="baseline"/>
                <w:lang w:eastAsia="zh-CN"/>
              </w:rPr>
            </w:pPr>
            <w:r>
              <w:rPr>
                <w:rFonts w:hint="eastAsia" w:ascii="宋体" w:hAnsi="宋体" w:eastAsia="宋体" w:cs="宋体"/>
                <w:b w:val="0"/>
                <w:bCs/>
                <w:sz w:val="21"/>
                <w:szCs w:val="21"/>
                <w:vertAlign w:val="baseline"/>
                <w:lang w:val="en-US" w:eastAsia="zh-CN"/>
              </w:rPr>
              <w:t>6.贮存温湿度-20~+85℃，10%-95%RH温度系数：±0.03%℃(0-50℃)震动频率10-500HZ。</w:t>
            </w:r>
          </w:p>
          <w:p>
            <w:pPr>
              <w:numPr>
                <w:ilvl w:val="0"/>
                <w:numId w:val="0"/>
              </w:numPr>
              <w:rPr>
                <w:rFonts w:hint="eastAsia" w:ascii="宋体" w:hAnsi="宋体" w:eastAsia="宋体" w:cs="宋体"/>
                <w:b w:val="0"/>
                <w:bCs/>
                <w:sz w:val="21"/>
                <w:szCs w:val="21"/>
                <w:vertAlign w:val="baseline"/>
                <w:lang w:eastAsia="zh-CN"/>
              </w:rPr>
            </w:pPr>
            <w:r>
              <w:rPr>
                <w:rFonts w:hint="eastAsia" w:ascii="宋体" w:hAnsi="宋体" w:eastAsia="宋体" w:cs="宋体"/>
                <w:b w:val="0"/>
                <w:bCs/>
                <w:sz w:val="21"/>
                <w:szCs w:val="21"/>
                <w:vertAlign w:val="baseline"/>
                <w:lang w:val="en-US" w:eastAsia="zh-CN"/>
              </w:rPr>
              <w:t>7.安全标准，耐压性I/P-O/P:1.5KVAC 1minute I/P-FG:1.5KVAC 1minute O/P-PG:0.5KVAC 1minute，绝缘电阻，输入输出间，输入与地，输出与地： 100M Ohms/500VDC热传导和辐射EMC值。</w:t>
            </w:r>
          </w:p>
        </w:tc>
        <w:tc>
          <w:tcPr>
            <w:tcW w:w="1063" w:type="dxa"/>
            <w:vAlign w:val="center"/>
          </w:tcPr>
          <w:p>
            <w:pPr>
              <w:jc w:val="center"/>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657" w:type="dxa"/>
            <w:vAlign w:val="center"/>
          </w:tcPr>
          <w:p>
            <w:pPr>
              <w:numPr>
                <w:ilvl w:val="0"/>
                <w:numId w:val="0"/>
              </w:numPr>
              <w:ind w:leftChars="0"/>
              <w:jc w:val="center"/>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w:t>
            </w:r>
          </w:p>
        </w:tc>
        <w:tc>
          <w:tcPr>
            <w:tcW w:w="1743" w:type="dxa"/>
            <w:vAlign w:val="center"/>
          </w:tcPr>
          <w:p>
            <w:pPr>
              <w:ind w:left="240" w:hanging="210" w:hangingChars="100"/>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播控系统</w:t>
            </w:r>
          </w:p>
        </w:tc>
        <w:tc>
          <w:tcPr>
            <w:tcW w:w="6957" w:type="dxa"/>
          </w:tcPr>
          <w:p>
            <w:pPr>
              <w:numPr>
                <w:ilvl w:val="0"/>
                <w:numId w:val="0"/>
              </w:numPr>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1.能够完成信号的调度和支配使用功能；</w:t>
            </w:r>
          </w:p>
          <w:p>
            <w:pPr>
              <w:numPr>
                <w:ilvl w:val="0"/>
                <w:numId w:val="0"/>
              </w:numPr>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2.支持显示素材多样化，各种视频文件、图片、底图、字幕、流媒体、IP桌面、超大分辨率图像的任意开窗、叠加显示；</w:t>
            </w:r>
          </w:p>
          <w:p>
            <w:pPr>
              <w:numPr>
                <w:ilvl w:val="0"/>
                <w:numId w:val="0"/>
              </w:numPr>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3.系统支持PC端触控操作，增强互动性，所见及所得；</w:t>
            </w:r>
          </w:p>
          <w:p>
            <w:pPr>
              <w:numPr>
                <w:ilvl w:val="0"/>
                <w:numId w:val="0"/>
              </w:numPr>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4.支持在线、离线场景编辑；</w:t>
            </w:r>
          </w:p>
          <w:p>
            <w:pPr>
              <w:numPr>
                <w:ilvl w:val="0"/>
                <w:numId w:val="0"/>
              </w:numPr>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5.支持多权限、多用户同时操作、分区操作，数据库实时数据更新，增强了数据的稳定性及安全性；</w:t>
            </w:r>
          </w:p>
          <w:p>
            <w:pPr>
              <w:numPr>
                <w:ilvl w:val="0"/>
                <w:numId w:val="0"/>
              </w:numPr>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6.支持日志记录，操作可追溯；</w:t>
            </w:r>
          </w:p>
          <w:p>
            <w:pPr>
              <w:numPr>
                <w:ilvl w:val="0"/>
                <w:numId w:val="0"/>
              </w:numPr>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7.支持多语言功能，方便切换；</w:t>
            </w:r>
          </w:p>
          <w:p>
            <w:pPr>
              <w:numPr>
                <w:ilvl w:val="0"/>
                <w:numId w:val="0"/>
              </w:numPr>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8.C/S架构，操作平台和服务分离，控制便捷、执行效率高；</w:t>
            </w:r>
          </w:p>
          <w:p>
            <w:pPr>
              <w:numPr>
                <w:ilvl w:val="0"/>
                <w:numId w:val="0"/>
              </w:numPr>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9.为了操作的安全性，需要场景设置和设备管理操作分离；</w:t>
            </w:r>
          </w:p>
          <w:p>
            <w:pPr>
              <w:numPr>
                <w:ilvl w:val="0"/>
                <w:numId w:val="0"/>
              </w:numPr>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10.需要支持LED显示屏等系统设备工作状态实时监控、故障智能诊断；</w:t>
            </w:r>
          </w:p>
          <w:p>
            <w:pPr>
              <w:numPr>
                <w:ilvl w:val="0"/>
                <w:numId w:val="0"/>
              </w:numPr>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11.支持自动的场景、节目播放、开关控制，适应各时段、多类型显示需求；</w:t>
            </w:r>
          </w:p>
          <w:p>
            <w:pPr>
              <w:numPr>
                <w:ilvl w:val="0"/>
                <w:numId w:val="0"/>
              </w:numPr>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12.支持单屏，多屏同时操控、数据集中管理，适应简单系统到复杂系统不同的操控模式，满足各种岗位集中管理、协同工作的需要；</w:t>
            </w:r>
          </w:p>
        </w:tc>
        <w:tc>
          <w:tcPr>
            <w:tcW w:w="1063" w:type="dxa"/>
            <w:vAlign w:val="center"/>
          </w:tcPr>
          <w:p>
            <w:pPr>
              <w:jc w:val="center"/>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657" w:type="dxa"/>
            <w:vAlign w:val="center"/>
          </w:tcPr>
          <w:p>
            <w:pPr>
              <w:numPr>
                <w:ilvl w:val="0"/>
                <w:numId w:val="0"/>
              </w:numPr>
              <w:ind w:leftChars="0"/>
              <w:jc w:val="center"/>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6</w:t>
            </w:r>
          </w:p>
        </w:tc>
        <w:tc>
          <w:tcPr>
            <w:tcW w:w="1743" w:type="dxa"/>
            <w:vAlign w:val="center"/>
          </w:tcPr>
          <w:p>
            <w:pPr>
              <w:ind w:left="240" w:hanging="210" w:hangingChars="100"/>
              <w:jc w:val="left"/>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屏体结构</w:t>
            </w:r>
          </w:p>
        </w:tc>
        <w:tc>
          <w:tcPr>
            <w:tcW w:w="6957" w:type="dxa"/>
          </w:tcPr>
          <w:p>
            <w:pPr>
              <w:ind w:left="240" w:hanging="210" w:hangingChars="100"/>
              <w:jc w:val="left"/>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1.钢结构：钢架构件（含接合板）采用Q235B钢制作，结构用钢应符合《GB700-88》规定的Q235要求，保证其抗拉强度、伸长率、屈服点，碳、硫、磷的极限含量；</w:t>
            </w:r>
          </w:p>
          <w:p>
            <w:pPr>
              <w:ind w:left="240" w:hanging="210" w:hangingChars="100"/>
              <w:jc w:val="left"/>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2.焊条：手工焊：Q235连接用E43系列焊条；</w:t>
            </w:r>
          </w:p>
          <w:p>
            <w:pPr>
              <w:ind w:left="240" w:hanging="210" w:hangingChars="100"/>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3.自动焊：Q235连接用H08系列焊条；</w:t>
            </w:r>
          </w:p>
          <w:p>
            <w:pPr>
              <w:ind w:left="240" w:hanging="210" w:hangingChars="100"/>
              <w:jc w:val="left"/>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4.要求：抗震7级，抗风8级；</w:t>
            </w:r>
          </w:p>
          <w:p>
            <w:pPr>
              <w:ind w:left="240" w:hanging="210" w:hangingChars="100"/>
              <w:jc w:val="left"/>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5.包边：不锈钢包边;</w:t>
            </w:r>
          </w:p>
        </w:tc>
        <w:tc>
          <w:tcPr>
            <w:tcW w:w="1063" w:type="dxa"/>
            <w:vAlign w:val="center"/>
          </w:tcPr>
          <w:p>
            <w:pPr>
              <w:jc w:val="center"/>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657" w:type="dxa"/>
            <w:vAlign w:val="center"/>
          </w:tcPr>
          <w:p>
            <w:pPr>
              <w:ind w:left="240" w:hanging="210" w:hangingChars="100"/>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7</w:t>
            </w:r>
          </w:p>
        </w:tc>
        <w:tc>
          <w:tcPr>
            <w:tcW w:w="1743" w:type="dxa"/>
            <w:vAlign w:val="center"/>
          </w:tcPr>
          <w:p>
            <w:pPr>
              <w:ind w:left="240" w:hanging="210" w:hangingChars="100"/>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功放音响</w:t>
            </w:r>
          </w:p>
        </w:tc>
        <w:tc>
          <w:tcPr>
            <w:tcW w:w="6957" w:type="dxa"/>
          </w:tcPr>
          <w:p>
            <w:pPr>
              <w:ind w:left="240" w:hanging="210" w:hangingChars="100"/>
              <w:jc w:val="left"/>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音柱+功放DBN</w:t>
            </w:r>
          </w:p>
        </w:tc>
        <w:tc>
          <w:tcPr>
            <w:tcW w:w="1063" w:type="dxa"/>
            <w:vAlign w:val="center"/>
          </w:tcPr>
          <w:p>
            <w:pPr>
              <w:jc w:val="center"/>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657" w:type="dxa"/>
            <w:vAlign w:val="center"/>
          </w:tcPr>
          <w:p>
            <w:pPr>
              <w:ind w:left="240" w:hanging="210" w:hangingChars="100"/>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8</w:t>
            </w:r>
          </w:p>
        </w:tc>
        <w:tc>
          <w:tcPr>
            <w:tcW w:w="1743" w:type="dxa"/>
            <w:vAlign w:val="center"/>
          </w:tcPr>
          <w:p>
            <w:pPr>
              <w:ind w:left="240" w:hanging="210" w:hangingChars="100"/>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备品备件</w:t>
            </w:r>
          </w:p>
        </w:tc>
        <w:tc>
          <w:tcPr>
            <w:tcW w:w="6957" w:type="dxa"/>
            <w:vAlign w:val="center"/>
          </w:tcPr>
          <w:p>
            <w:pPr>
              <w:ind w:left="240" w:hanging="210" w:hangingChars="100"/>
              <w:jc w:val="left"/>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同批次显示屏模块6张</w:t>
            </w:r>
          </w:p>
          <w:p>
            <w:pPr>
              <w:ind w:left="240" w:hanging="210" w:hangingChars="100"/>
              <w:jc w:val="left"/>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同批次接收卡2张</w:t>
            </w:r>
          </w:p>
          <w:p>
            <w:pPr>
              <w:ind w:left="240" w:hanging="210" w:hangingChars="100"/>
              <w:jc w:val="left"/>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开关电源2个</w:t>
            </w:r>
          </w:p>
          <w:p>
            <w:pPr>
              <w:ind w:left="240" w:hanging="210" w:hangingChars="100"/>
              <w:jc w:val="left"/>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视频控制器2个</w:t>
            </w:r>
          </w:p>
        </w:tc>
        <w:tc>
          <w:tcPr>
            <w:tcW w:w="1063" w:type="dxa"/>
            <w:vAlign w:val="center"/>
          </w:tcPr>
          <w:p>
            <w:pPr>
              <w:jc w:val="center"/>
              <w:rPr>
                <w:rFonts w:hint="eastAsia" w:ascii="宋体" w:hAnsi="宋体" w:eastAsia="宋体" w:cs="宋体"/>
                <w:b w:val="0"/>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57" w:type="dxa"/>
            <w:vAlign w:val="center"/>
          </w:tcPr>
          <w:p>
            <w:pPr>
              <w:ind w:left="240" w:hanging="210" w:hangingChars="100"/>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9</w:t>
            </w:r>
          </w:p>
        </w:tc>
        <w:tc>
          <w:tcPr>
            <w:tcW w:w="1743" w:type="dxa"/>
            <w:vAlign w:val="center"/>
          </w:tcPr>
          <w:p>
            <w:pPr>
              <w:ind w:left="240" w:hanging="210" w:hangingChars="100"/>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其它要求</w:t>
            </w:r>
          </w:p>
        </w:tc>
        <w:tc>
          <w:tcPr>
            <w:tcW w:w="6957" w:type="dxa"/>
            <w:vAlign w:val="center"/>
          </w:tcPr>
          <w:p>
            <w:pPr>
              <w:ind w:left="240" w:hanging="210" w:hangingChars="100"/>
              <w:jc w:val="left"/>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现安装的两块LED屏，视频发布需与已有的三块屏幕系统同步发送。</w:t>
            </w:r>
          </w:p>
        </w:tc>
        <w:tc>
          <w:tcPr>
            <w:tcW w:w="1063" w:type="dxa"/>
            <w:vAlign w:val="center"/>
          </w:tcPr>
          <w:p>
            <w:pPr>
              <w:jc w:val="center"/>
              <w:rPr>
                <w:rFonts w:hint="eastAsia" w:ascii="宋体" w:hAnsi="宋体" w:eastAsia="宋体" w:cs="宋体"/>
                <w:b w:val="0"/>
                <w:bCs/>
                <w:sz w:val="21"/>
                <w:szCs w:val="21"/>
                <w:vertAlign w:val="baseline"/>
                <w:lang w:val="en-US" w:eastAsia="zh-CN"/>
              </w:rPr>
            </w:pPr>
          </w:p>
        </w:tc>
      </w:tr>
    </w:tbl>
    <w:p>
      <w:pPr>
        <w:pStyle w:val="2"/>
        <w:jc w:val="both"/>
        <w:rPr>
          <w:rFonts w:hint="eastAsia"/>
        </w:rPr>
      </w:pPr>
    </w:p>
    <w:p>
      <w:pPr>
        <w:rPr>
          <w:rFonts w:hint="eastAsia"/>
        </w:rPr>
      </w:pPr>
    </w:p>
    <w:p>
      <w:pPr>
        <w:pStyle w:val="2"/>
        <w:jc w:val="left"/>
        <w:rPr>
          <w:rFonts w:hint="eastAsia" w:eastAsiaTheme="minorEastAsia"/>
          <w:lang w:eastAsia="zh-CN"/>
        </w:rPr>
      </w:pPr>
      <w:r>
        <w:rPr>
          <w:rFonts w:hint="eastAsia"/>
          <w:lang w:eastAsia="zh-CN"/>
        </w:rPr>
        <w:t>附件二：</w:t>
      </w:r>
    </w:p>
    <w:tbl>
      <w:tblPr>
        <w:tblW w:w="500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456"/>
        <w:gridCol w:w="456"/>
        <w:gridCol w:w="1894"/>
        <w:gridCol w:w="635"/>
        <w:gridCol w:w="1294"/>
        <w:gridCol w:w="3337"/>
        <w:gridCol w:w="960"/>
        <w:gridCol w:w="723"/>
        <w:gridCol w:w="1006"/>
        <w:gridCol w:w="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8" w:type="pct"/>
          <w:trHeight w:val="540" w:hRule="atLeast"/>
        </w:trPr>
        <w:tc>
          <w:tcPr>
            <w:tcW w:w="4991" w:type="pct"/>
            <w:gridSpan w:val="9"/>
            <w:tcBorders>
              <w:top w:val="nil"/>
              <w:left w:val="nil"/>
              <w:bottom w:val="single" w:color="000000" w:sz="4" w:space="0"/>
              <w:right w:val="nil"/>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4"/>
                <w:szCs w:val="44"/>
                <w:u w:val="none"/>
              </w:rPr>
            </w:pPr>
            <w:r>
              <w:rPr>
                <w:rFonts w:hint="eastAsia" w:ascii="宋体" w:hAnsi="宋体" w:eastAsia="宋体" w:cs="宋体"/>
                <w:b/>
                <w:bCs/>
                <w:i w:val="0"/>
                <w:iCs w:val="0"/>
                <w:color w:val="000000"/>
                <w:kern w:val="0"/>
                <w:sz w:val="44"/>
                <w:szCs w:val="44"/>
                <w:u w:val="none"/>
                <w:bdr w:val="none" w:color="auto" w:sz="0" w:space="0"/>
                <w:lang w:val="en-US" w:eastAsia="zh-CN" w:bidi="ar"/>
              </w:rPr>
              <w:t>室外防水LED条幅屏设计方案（安装玻璃幕墙）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4040" w:hRule="atLeast"/>
        </w:trPr>
        <w:tc>
          <w:tcPr>
            <w:tcW w:w="4991" w:type="pct"/>
            <w:gridSpan w:val="9"/>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32"/>
                <w:szCs w:val="32"/>
                <w:u w:val="none"/>
              </w:rPr>
            </w:pPr>
            <w:r>
              <w:rPr>
                <w:rStyle w:val="11"/>
                <w:bdr w:val="none" w:color="auto" w:sz="0" w:space="0"/>
                <w:lang w:val="en-US" w:eastAsia="zh-CN" w:bidi="ar"/>
              </w:rPr>
              <w:t>设计说明：</w:t>
            </w:r>
            <w:r>
              <w:rPr>
                <w:rStyle w:val="12"/>
                <w:bdr w:val="none" w:color="auto" w:sz="0" w:space="0"/>
                <w:lang w:val="en-US" w:eastAsia="zh-CN" w:bidi="ar"/>
              </w:rPr>
              <w:t xml:space="preserve">                                                                                                     </w:t>
            </w:r>
            <w:r>
              <w:rPr>
                <w:rStyle w:val="13"/>
                <w:bdr w:val="none" w:color="auto" w:sz="0" w:space="0"/>
                <w:lang w:val="en-US" w:eastAsia="zh-CN" w:bidi="ar"/>
              </w:rPr>
              <w:t xml:space="preserve">01、坚持原则：简单 实用 耐用 好用 集成化的原则；                                                                           02、使用简单：系统实现完全自动化，任何人员无需再任何培训的情况下就会操作使用；                                                       03、免于维护：整个系统在正常使用情况下无需进行维护，时间可长达五年以上；                                                    04、无人值守：日常使用等情况下无需人员看管值守设备；本地和互联网远程操作管控采用加密模式同时存在，随时随地授权后即可使用；                                                                                                             05、自动备份：系统自动备份，在开机后出现故障的情况下可实现自动无缝切换备用模式，完全不影响使用；                                                                                                     05、具体落地：为网络版系统，何时何地均可操作，并自动本地备份使用；                                                              06、设计时效：10年；                                                                                           07、施工工艺：国标工艺，3年内箱体内无任何进水现象，开机是冷热产生的冷凝水从底部自动流出；核心部件采用产品本身结构等进行防水，不可采用结构胶等密封（高温和低温环境使用易老化）；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8" w:type="pct"/>
          <w:trHeight w:val="960" w:hRule="atLeast"/>
        </w:trPr>
        <w:tc>
          <w:tcPr>
            <w:tcW w:w="21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序号</w:t>
            </w:r>
          </w:p>
        </w:tc>
        <w:tc>
          <w:tcPr>
            <w:tcW w:w="21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分项</w:t>
            </w:r>
          </w:p>
        </w:tc>
        <w:tc>
          <w:tcPr>
            <w:tcW w:w="87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名称</w:t>
            </w:r>
          </w:p>
        </w:tc>
        <w:tc>
          <w:tcPr>
            <w:tcW w:w="2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品牌</w:t>
            </w:r>
          </w:p>
        </w:tc>
        <w:tc>
          <w:tcPr>
            <w:tcW w:w="6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规格型号</w:t>
            </w:r>
          </w:p>
        </w:tc>
        <w:tc>
          <w:tcPr>
            <w:tcW w:w="154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参数</w:t>
            </w:r>
          </w:p>
        </w:tc>
        <w:tc>
          <w:tcPr>
            <w:tcW w:w="44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数量</w:t>
            </w:r>
          </w:p>
        </w:tc>
        <w:tc>
          <w:tcPr>
            <w:tcW w:w="33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单位</w:t>
            </w:r>
          </w:p>
        </w:tc>
        <w:tc>
          <w:tcPr>
            <w:tcW w:w="46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lang w:eastAsia="zh-CN"/>
              </w:rPr>
            </w:pPr>
            <w:r>
              <w:rPr>
                <w:rFonts w:hint="eastAsia" w:ascii="宋体" w:hAnsi="宋体" w:eastAsia="宋体" w:cs="宋体"/>
                <w:b/>
                <w:bCs/>
                <w:i w:val="0"/>
                <w:iCs w:val="0"/>
                <w:color w:val="000000"/>
                <w:sz w:val="24"/>
                <w:szCs w:val="24"/>
                <w:u w:val="none"/>
                <w:lang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2625" w:hRule="atLeast"/>
        </w:trPr>
        <w:tc>
          <w:tcPr>
            <w:tcW w:w="21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01</w:t>
            </w:r>
          </w:p>
        </w:tc>
        <w:tc>
          <w:tcPr>
            <w:tcW w:w="211" w:type="pct"/>
            <w:vMerge w:val="restart"/>
            <w:tcBorders>
              <w:top w:val="single" w:color="000000" w:sz="4" w:space="0"/>
              <w:left w:val="single" w:color="000000" w:sz="4" w:space="0"/>
              <w:bottom w:val="nil"/>
              <w:right w:val="nil"/>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框架系列</w:t>
            </w:r>
          </w:p>
        </w:tc>
        <w:tc>
          <w:tcPr>
            <w:tcW w:w="87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铝合金全防水箱体</w:t>
            </w:r>
          </w:p>
        </w:tc>
        <w:tc>
          <w:tcPr>
            <w:tcW w:w="2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定制</w:t>
            </w:r>
          </w:p>
        </w:tc>
        <w:tc>
          <w:tcPr>
            <w:tcW w:w="600"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4"/>
                <w:szCs w:val="24"/>
                <w:u w:val="none"/>
              </w:rPr>
            </w:pPr>
          </w:p>
        </w:tc>
        <w:tc>
          <w:tcPr>
            <w:tcW w:w="154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全防水箱体；箱体底部预独立不影响屏体的留排水口；预留检修口；配套散热器，确保屏体最高温度不高于60度；可视面与模组无明显不平整现象；</w:t>
            </w:r>
          </w:p>
        </w:tc>
        <w:tc>
          <w:tcPr>
            <w:tcW w:w="44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14.336</w:t>
            </w:r>
          </w:p>
        </w:tc>
        <w:tc>
          <w:tcPr>
            <w:tcW w:w="33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平方</w:t>
            </w:r>
          </w:p>
        </w:tc>
        <w:tc>
          <w:tcPr>
            <w:tcW w:w="466"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1875" w:hRule="atLeast"/>
        </w:trPr>
        <w:tc>
          <w:tcPr>
            <w:tcW w:w="21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02</w:t>
            </w:r>
          </w:p>
        </w:tc>
        <w:tc>
          <w:tcPr>
            <w:tcW w:w="211" w:type="pct"/>
            <w:vMerge w:val="continue"/>
            <w:tcBorders>
              <w:top w:val="single" w:color="000000" w:sz="4" w:space="0"/>
              <w:left w:val="single" w:color="000000" w:sz="4" w:space="0"/>
              <w:bottom w:val="nil"/>
              <w:right w:val="nil"/>
            </w:tcBorders>
            <w:shd w:val="clear"/>
            <w:vAlign w:val="center"/>
          </w:tcPr>
          <w:p>
            <w:pPr>
              <w:jc w:val="center"/>
              <w:rPr>
                <w:rFonts w:hint="eastAsia" w:ascii="宋体" w:hAnsi="宋体" w:eastAsia="宋体" w:cs="宋体"/>
                <w:i w:val="0"/>
                <w:iCs w:val="0"/>
                <w:color w:val="000000"/>
                <w:sz w:val="24"/>
                <w:szCs w:val="24"/>
                <w:u w:val="none"/>
              </w:rPr>
            </w:pPr>
          </w:p>
        </w:tc>
        <w:tc>
          <w:tcPr>
            <w:tcW w:w="87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固定支架</w:t>
            </w:r>
          </w:p>
        </w:tc>
        <w:tc>
          <w:tcPr>
            <w:tcW w:w="2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定制</w:t>
            </w:r>
          </w:p>
        </w:tc>
        <w:tc>
          <w:tcPr>
            <w:tcW w:w="6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钢结构焊接</w:t>
            </w:r>
          </w:p>
        </w:tc>
        <w:tc>
          <w:tcPr>
            <w:tcW w:w="154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镀锌管管径：主支撑结构不低于40*60；不低于20*40；厚度不低于2.0；具体结构根据现场设计</w:t>
            </w:r>
          </w:p>
        </w:tc>
        <w:tc>
          <w:tcPr>
            <w:tcW w:w="44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33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批</w:t>
            </w:r>
          </w:p>
        </w:tc>
        <w:tc>
          <w:tcPr>
            <w:tcW w:w="46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包含墙面等修补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4524" w:type="pct"/>
            <w:gridSpan w:val="8"/>
            <w:tcBorders>
              <w:top w:val="single" w:color="000000" w:sz="4" w:space="0"/>
              <w:left w:val="single" w:color="000000" w:sz="4" w:space="0"/>
              <w:bottom w:val="nil"/>
              <w:right w:val="single" w:color="000000" w:sz="4" w:space="0"/>
            </w:tcBorders>
            <w:shd w:val="clear" w:color="auto" w:fill="FFFF00"/>
            <w:vAlign w:val="center"/>
          </w:tcPr>
          <w:p>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FF0000"/>
                <w:kern w:val="0"/>
                <w:sz w:val="24"/>
                <w:szCs w:val="24"/>
                <w:u w:val="none"/>
                <w:bdr w:val="none" w:color="auto" w:sz="0" w:space="0"/>
                <w:lang w:val="en-US" w:eastAsia="zh-CN" w:bidi="ar"/>
              </w:rPr>
              <w:t>小计</w:t>
            </w:r>
          </w:p>
        </w:tc>
        <w:tc>
          <w:tcPr>
            <w:tcW w:w="475" w:type="pct"/>
            <w:gridSpan w:val="2"/>
            <w:tcBorders>
              <w:top w:val="single" w:color="000000" w:sz="4" w:space="0"/>
              <w:left w:val="single" w:color="000000" w:sz="4" w:space="0"/>
              <w:bottom w:val="single" w:color="000000" w:sz="4" w:space="0"/>
              <w:right w:val="single" w:color="000000" w:sz="4" w:space="0"/>
            </w:tcBorders>
            <w:shd w:val="clear" w:color="auto" w:fill="FFFF0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1500" w:hRule="atLeast"/>
        </w:trPr>
        <w:tc>
          <w:tcPr>
            <w:tcW w:w="21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01</w:t>
            </w:r>
          </w:p>
        </w:tc>
        <w:tc>
          <w:tcPr>
            <w:tcW w:w="211" w:type="pct"/>
            <w:vMerge w:val="restart"/>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屏体系列</w:t>
            </w:r>
          </w:p>
        </w:tc>
        <w:tc>
          <w:tcPr>
            <w:tcW w:w="87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户外全防水模组</w:t>
            </w:r>
          </w:p>
        </w:tc>
        <w:tc>
          <w:tcPr>
            <w:tcW w:w="29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4"/>
                <w:szCs w:val="24"/>
                <w:u w:val="none"/>
              </w:rPr>
            </w:pPr>
          </w:p>
        </w:tc>
        <w:tc>
          <w:tcPr>
            <w:tcW w:w="6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P10全户外单红模组</w:t>
            </w:r>
          </w:p>
        </w:tc>
        <w:tc>
          <w:tcPr>
            <w:tcW w:w="154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10单红全户外防水高亮模组；模组32*16标准规格；灯珠3年内无可见衰耗；</w:t>
            </w:r>
          </w:p>
        </w:tc>
        <w:tc>
          <w:tcPr>
            <w:tcW w:w="44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280</w:t>
            </w:r>
          </w:p>
        </w:tc>
        <w:tc>
          <w:tcPr>
            <w:tcW w:w="33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46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高6张；宽46张；备用4张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2608" w:hRule="atLeast"/>
        </w:trPr>
        <w:tc>
          <w:tcPr>
            <w:tcW w:w="21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02</w:t>
            </w:r>
          </w:p>
        </w:tc>
        <w:tc>
          <w:tcPr>
            <w:tcW w:w="211" w:type="pct"/>
            <w:vMerge w:val="continue"/>
            <w:tcBorders>
              <w:top w:val="single" w:color="000000" w:sz="4" w:space="0"/>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24"/>
                <w:szCs w:val="24"/>
                <w:u w:val="none"/>
              </w:rPr>
            </w:pPr>
          </w:p>
        </w:tc>
        <w:tc>
          <w:tcPr>
            <w:tcW w:w="87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防水电源转换器</w:t>
            </w:r>
          </w:p>
        </w:tc>
        <w:tc>
          <w:tcPr>
            <w:tcW w:w="29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4"/>
                <w:szCs w:val="24"/>
                <w:u w:val="none"/>
              </w:rPr>
            </w:pPr>
          </w:p>
        </w:tc>
        <w:tc>
          <w:tcPr>
            <w:tcW w:w="6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5V40A200W</w:t>
            </w:r>
          </w:p>
        </w:tc>
        <w:tc>
          <w:tcPr>
            <w:tcW w:w="154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输入电压：220V AC；输入频率：47-63HZ；输出保护：过流短路保护；尺寸：199*110*50；输出电压：5V；散热方式：自冷；工作温度：-25-+60摄氏度；带电压调节旋钮；必须接地；</w:t>
            </w:r>
          </w:p>
        </w:tc>
        <w:tc>
          <w:tcPr>
            <w:tcW w:w="44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47</w:t>
            </w:r>
          </w:p>
        </w:tc>
        <w:tc>
          <w:tcPr>
            <w:tcW w:w="33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466"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6张一个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1500" w:hRule="atLeast"/>
        </w:trPr>
        <w:tc>
          <w:tcPr>
            <w:tcW w:w="21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03</w:t>
            </w:r>
          </w:p>
        </w:tc>
        <w:tc>
          <w:tcPr>
            <w:tcW w:w="211" w:type="pct"/>
            <w:vMerge w:val="continue"/>
            <w:tcBorders>
              <w:top w:val="single" w:color="000000" w:sz="4" w:space="0"/>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24"/>
                <w:szCs w:val="24"/>
                <w:u w:val="none"/>
              </w:rPr>
            </w:pPr>
          </w:p>
        </w:tc>
        <w:tc>
          <w:tcPr>
            <w:tcW w:w="87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串联电源线</w:t>
            </w:r>
          </w:p>
        </w:tc>
        <w:tc>
          <w:tcPr>
            <w:tcW w:w="2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定制</w:t>
            </w:r>
          </w:p>
        </w:tc>
        <w:tc>
          <w:tcPr>
            <w:tcW w:w="6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3*2.5</w:t>
            </w:r>
          </w:p>
        </w:tc>
        <w:tc>
          <w:tcPr>
            <w:tcW w:w="154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国标RVV规格电线，接头采用接线子；长度定制；均采用无氧铜材料；</w:t>
            </w:r>
          </w:p>
        </w:tc>
        <w:tc>
          <w:tcPr>
            <w:tcW w:w="44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47</w:t>
            </w:r>
          </w:p>
        </w:tc>
        <w:tc>
          <w:tcPr>
            <w:tcW w:w="33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根</w:t>
            </w:r>
          </w:p>
        </w:tc>
        <w:tc>
          <w:tcPr>
            <w:tcW w:w="466"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630" w:hRule="atLeast"/>
        </w:trPr>
        <w:tc>
          <w:tcPr>
            <w:tcW w:w="21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04</w:t>
            </w:r>
          </w:p>
        </w:tc>
        <w:tc>
          <w:tcPr>
            <w:tcW w:w="211" w:type="pct"/>
            <w:vMerge w:val="continue"/>
            <w:tcBorders>
              <w:top w:val="single" w:color="000000" w:sz="4" w:space="0"/>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24"/>
                <w:szCs w:val="24"/>
                <w:u w:val="none"/>
              </w:rPr>
            </w:pPr>
          </w:p>
        </w:tc>
        <w:tc>
          <w:tcPr>
            <w:tcW w:w="87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信号排线</w:t>
            </w:r>
          </w:p>
        </w:tc>
        <w:tc>
          <w:tcPr>
            <w:tcW w:w="29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4"/>
                <w:szCs w:val="24"/>
                <w:u w:val="none"/>
              </w:rPr>
            </w:pPr>
          </w:p>
        </w:tc>
        <w:tc>
          <w:tcPr>
            <w:tcW w:w="6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10P</w:t>
            </w:r>
          </w:p>
        </w:tc>
        <w:tc>
          <w:tcPr>
            <w:tcW w:w="1547"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4"/>
                <w:szCs w:val="24"/>
                <w:u w:val="none"/>
              </w:rPr>
            </w:pPr>
          </w:p>
        </w:tc>
        <w:tc>
          <w:tcPr>
            <w:tcW w:w="44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280</w:t>
            </w:r>
          </w:p>
        </w:tc>
        <w:tc>
          <w:tcPr>
            <w:tcW w:w="33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组</w:t>
            </w:r>
          </w:p>
        </w:tc>
        <w:tc>
          <w:tcPr>
            <w:tcW w:w="466"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1125" w:hRule="atLeast"/>
        </w:trPr>
        <w:tc>
          <w:tcPr>
            <w:tcW w:w="21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05</w:t>
            </w:r>
          </w:p>
        </w:tc>
        <w:tc>
          <w:tcPr>
            <w:tcW w:w="211" w:type="pct"/>
            <w:vMerge w:val="continue"/>
            <w:tcBorders>
              <w:top w:val="single" w:color="000000" w:sz="4" w:space="0"/>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24"/>
                <w:szCs w:val="24"/>
                <w:u w:val="none"/>
              </w:rPr>
            </w:pPr>
          </w:p>
        </w:tc>
        <w:tc>
          <w:tcPr>
            <w:tcW w:w="87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低压电源线（加粗）</w:t>
            </w:r>
          </w:p>
        </w:tc>
        <w:tc>
          <w:tcPr>
            <w:tcW w:w="29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4"/>
                <w:szCs w:val="24"/>
                <w:u w:val="none"/>
              </w:rPr>
            </w:pPr>
          </w:p>
        </w:tc>
        <w:tc>
          <w:tcPr>
            <w:tcW w:w="6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一分二</w:t>
            </w:r>
          </w:p>
        </w:tc>
        <w:tc>
          <w:tcPr>
            <w:tcW w:w="154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LED屏户外模组单元板直插U型端子5V一拖二黑红线（加粗）</w:t>
            </w:r>
          </w:p>
        </w:tc>
        <w:tc>
          <w:tcPr>
            <w:tcW w:w="44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140</w:t>
            </w:r>
          </w:p>
        </w:tc>
        <w:tc>
          <w:tcPr>
            <w:tcW w:w="33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组</w:t>
            </w:r>
          </w:p>
        </w:tc>
        <w:tc>
          <w:tcPr>
            <w:tcW w:w="466"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3750" w:hRule="atLeast"/>
        </w:trPr>
        <w:tc>
          <w:tcPr>
            <w:tcW w:w="211"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06</w:t>
            </w:r>
          </w:p>
        </w:tc>
        <w:tc>
          <w:tcPr>
            <w:tcW w:w="211" w:type="pct"/>
            <w:vMerge w:val="continue"/>
            <w:tcBorders>
              <w:top w:val="single" w:color="000000" w:sz="4" w:space="0"/>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24"/>
                <w:szCs w:val="24"/>
                <w:u w:val="none"/>
              </w:rPr>
            </w:pPr>
          </w:p>
        </w:tc>
        <w:tc>
          <w:tcPr>
            <w:tcW w:w="87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控制器</w:t>
            </w:r>
          </w:p>
        </w:tc>
        <w:tc>
          <w:tcPr>
            <w:tcW w:w="29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4"/>
                <w:szCs w:val="24"/>
                <w:u w:val="none"/>
              </w:rPr>
            </w:pPr>
          </w:p>
        </w:tc>
        <w:tc>
          <w:tcPr>
            <w:tcW w:w="600"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4"/>
                <w:szCs w:val="24"/>
                <w:u w:val="none"/>
              </w:rPr>
            </w:pPr>
          </w:p>
        </w:tc>
        <w:tc>
          <w:tcPr>
            <w:tcW w:w="154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HUB12接口；支持恒流驱动；支持高刷芯片；储存容量不低于16兆；支持互联网、wifi、U盘等通讯方式；配套智能控制箱支持远程开关等；配套电脑手机软件；软件授权终身免费；带载能力根据屏幕计算；</w:t>
            </w:r>
          </w:p>
        </w:tc>
        <w:tc>
          <w:tcPr>
            <w:tcW w:w="44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335"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t>套</w:t>
            </w:r>
          </w:p>
        </w:tc>
        <w:tc>
          <w:tcPr>
            <w:tcW w:w="466"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4524" w:type="pct"/>
            <w:gridSpan w:val="8"/>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FF0000"/>
                <w:kern w:val="0"/>
                <w:sz w:val="24"/>
                <w:szCs w:val="24"/>
                <w:u w:val="none"/>
                <w:bdr w:val="none" w:color="auto" w:sz="0" w:space="0"/>
                <w:lang w:val="en-US" w:eastAsia="zh-CN" w:bidi="ar"/>
              </w:rPr>
              <w:t>小计</w:t>
            </w:r>
          </w:p>
        </w:tc>
        <w:tc>
          <w:tcPr>
            <w:tcW w:w="475" w:type="pct"/>
            <w:gridSpan w:val="2"/>
            <w:tcBorders>
              <w:top w:val="single" w:color="000000" w:sz="4" w:space="0"/>
              <w:left w:val="single" w:color="000000" w:sz="4" w:space="0"/>
              <w:bottom w:val="single" w:color="000000" w:sz="4" w:space="0"/>
              <w:right w:val="single" w:color="000000" w:sz="4" w:space="0"/>
            </w:tcBorders>
            <w:shd w:val="clear" w:color="auto" w:fill="FFFF00"/>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1500" w:hRule="atLeast"/>
        </w:trPr>
        <w:tc>
          <w:tcPr>
            <w:tcW w:w="211"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01</w:t>
            </w:r>
          </w:p>
        </w:tc>
        <w:tc>
          <w:tcPr>
            <w:tcW w:w="211" w:type="pct"/>
            <w:vMerge w:val="restart"/>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集成系类</w:t>
            </w:r>
          </w:p>
        </w:tc>
        <w:tc>
          <w:tcPr>
            <w:tcW w:w="8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皮线电缆</w:t>
            </w:r>
          </w:p>
        </w:tc>
        <w:tc>
          <w:tcPr>
            <w:tcW w:w="29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4"/>
                <w:szCs w:val="24"/>
                <w:u w:val="none"/>
              </w:rPr>
            </w:pPr>
          </w:p>
        </w:tc>
        <w:tc>
          <w:tcPr>
            <w:tcW w:w="600"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3*2.5+2.5+1.5</w:t>
            </w:r>
          </w:p>
        </w:tc>
        <w:tc>
          <w:tcPr>
            <w:tcW w:w="154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国标RVV规格电线，接头采用接线子；长度定制；均采用无氧铜材料；</w:t>
            </w:r>
          </w:p>
        </w:tc>
        <w:tc>
          <w:tcPr>
            <w:tcW w:w="44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33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组</w:t>
            </w:r>
          </w:p>
        </w:tc>
        <w:tc>
          <w:tcPr>
            <w:tcW w:w="466"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4125" w:hRule="atLeast"/>
        </w:trPr>
        <w:tc>
          <w:tcPr>
            <w:tcW w:w="211"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02</w:t>
            </w:r>
          </w:p>
        </w:tc>
        <w:tc>
          <w:tcPr>
            <w:tcW w:w="211" w:type="pct"/>
            <w:vMerge w:val="continue"/>
            <w:tcBorders>
              <w:top w:val="single" w:color="000000" w:sz="4" w:space="0"/>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24"/>
                <w:szCs w:val="24"/>
                <w:u w:val="none"/>
              </w:rPr>
            </w:pPr>
          </w:p>
        </w:tc>
        <w:tc>
          <w:tcPr>
            <w:tcW w:w="878" w:type="pc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智能控制系统</w:t>
            </w:r>
          </w:p>
        </w:tc>
        <w:tc>
          <w:tcPr>
            <w:tcW w:w="294"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定制</w:t>
            </w:r>
          </w:p>
        </w:tc>
        <w:tc>
          <w:tcPr>
            <w:tcW w:w="600"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4"/>
                <w:szCs w:val="24"/>
                <w:u w:val="none"/>
              </w:rPr>
            </w:pPr>
          </w:p>
        </w:tc>
        <w:tc>
          <w:tcPr>
            <w:tcW w:w="154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配套控制器使用，主要为智能供电和操作；实现随时随地上传节目和控制大屏，根据用户设置自动运行；根据设定不单是关闭信号，还要关闭供电，从而节约用电和延长屏幕的使用寿命；屏幕较长需采用分段式三相供电方式，确保电压无明显衰减；</w:t>
            </w:r>
          </w:p>
        </w:tc>
        <w:tc>
          <w:tcPr>
            <w:tcW w:w="44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33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466"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 w:type="pct"/>
          <w:trHeight w:val="750" w:hRule="atLeast"/>
        </w:trPr>
        <w:tc>
          <w:tcPr>
            <w:tcW w:w="211" w:type="pct"/>
            <w:tcBorders>
              <w:top w:val="nil"/>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03</w:t>
            </w:r>
          </w:p>
        </w:tc>
        <w:tc>
          <w:tcPr>
            <w:tcW w:w="211" w:type="pct"/>
            <w:vMerge w:val="continue"/>
            <w:tcBorders>
              <w:top w:val="single" w:color="000000" w:sz="4" w:space="0"/>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24"/>
                <w:szCs w:val="24"/>
                <w:u w:val="none"/>
              </w:rPr>
            </w:pPr>
          </w:p>
        </w:tc>
        <w:tc>
          <w:tcPr>
            <w:tcW w:w="878"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六类网线</w:t>
            </w:r>
          </w:p>
        </w:tc>
        <w:tc>
          <w:tcPr>
            <w:tcW w:w="294"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4"/>
                <w:szCs w:val="24"/>
                <w:u w:val="none"/>
              </w:rPr>
            </w:pPr>
          </w:p>
        </w:tc>
        <w:tc>
          <w:tcPr>
            <w:tcW w:w="600"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4"/>
                <w:szCs w:val="24"/>
                <w:u w:val="none"/>
              </w:rPr>
            </w:pPr>
          </w:p>
        </w:tc>
        <w:tc>
          <w:tcPr>
            <w:tcW w:w="1547"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CAT6；线芯不低于0.5；</w:t>
            </w:r>
          </w:p>
        </w:tc>
        <w:tc>
          <w:tcPr>
            <w:tcW w:w="44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335" w:type="pc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组</w:t>
            </w:r>
          </w:p>
        </w:tc>
        <w:tc>
          <w:tcPr>
            <w:tcW w:w="466" w:type="pc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4524" w:type="pct"/>
            <w:gridSpan w:val="8"/>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FF0000"/>
                <w:kern w:val="0"/>
                <w:sz w:val="24"/>
                <w:szCs w:val="24"/>
                <w:u w:val="none"/>
                <w:bdr w:val="none" w:color="auto" w:sz="0" w:space="0"/>
                <w:lang w:val="en-US" w:eastAsia="zh-CN" w:bidi="ar"/>
              </w:rPr>
              <w:t>小计</w:t>
            </w:r>
          </w:p>
        </w:tc>
        <w:tc>
          <w:tcPr>
            <w:tcW w:w="475" w:type="pct"/>
            <w:gridSpan w:val="2"/>
            <w:tcBorders>
              <w:top w:val="single" w:color="000000" w:sz="4" w:space="0"/>
              <w:left w:val="single" w:color="000000" w:sz="4" w:space="0"/>
              <w:bottom w:val="single" w:color="000000" w:sz="4" w:space="0"/>
              <w:right w:val="single" w:color="000000" w:sz="4" w:space="0"/>
            </w:tcBorders>
            <w:shd w:val="clear" w:color="auto" w:fill="FFFF00"/>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4524" w:type="pct"/>
            <w:gridSpan w:val="8"/>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总价</w:t>
            </w:r>
          </w:p>
        </w:tc>
        <w:tc>
          <w:tcPr>
            <w:tcW w:w="475" w:type="pct"/>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4"/>
                <w:szCs w:val="24"/>
                <w:u w:val="none"/>
              </w:rPr>
            </w:pPr>
          </w:p>
        </w:tc>
      </w:tr>
    </w:tbl>
    <w:p>
      <w:pPr>
        <w:pStyle w:val="2"/>
        <w:jc w:val="both"/>
        <w:rPr>
          <w:rFonts w:hint="eastAsia"/>
          <w:lang w:eastAsia="zh-CN"/>
        </w:rPr>
      </w:pPr>
    </w:p>
    <w:p>
      <w:pPr>
        <w:rPr>
          <w:rFonts w:hint="eastAsia"/>
          <w:b/>
          <w:bCs/>
          <w:sz w:val="24"/>
          <w:szCs w:val="24"/>
          <w:lang w:eastAsia="zh-CN"/>
        </w:rPr>
      </w:pPr>
    </w:p>
    <w:p>
      <w:pPr>
        <w:rPr>
          <w:rFonts w:hint="eastAsia" w:eastAsiaTheme="minorEastAsia"/>
          <w:b/>
          <w:bCs/>
          <w:sz w:val="40"/>
          <w:szCs w:val="40"/>
          <w:lang w:val="en-US" w:eastAsia="zh-CN"/>
        </w:rPr>
      </w:pPr>
      <w:r>
        <w:rPr>
          <w:rFonts w:hint="eastAsia"/>
          <w:b/>
          <w:bCs/>
          <w:sz w:val="40"/>
          <w:szCs w:val="40"/>
          <w:lang w:val="en-US" w:eastAsia="zh-CN"/>
        </w:rPr>
        <w:t>单色屏现场安装位置：</w:t>
      </w:r>
    </w:p>
    <w:p>
      <w:pPr>
        <w:rPr>
          <w:rFonts w:hint="eastAsia"/>
          <w:b/>
          <w:bCs/>
          <w:sz w:val="24"/>
          <w:szCs w:val="24"/>
          <w:lang w:eastAsia="zh-CN"/>
        </w:rPr>
      </w:pPr>
    </w:p>
    <w:p>
      <w:pPr>
        <w:rPr>
          <w:rFonts w:hint="default" w:eastAsiaTheme="minorEastAsia"/>
          <w:b/>
          <w:bCs/>
          <w:sz w:val="24"/>
          <w:szCs w:val="24"/>
          <w:lang w:val="en-US" w:eastAsia="zh-CN"/>
        </w:rPr>
      </w:pPr>
      <w:r>
        <w:rPr>
          <w:rFonts w:hint="default" w:eastAsiaTheme="minorEastAsia"/>
          <w:b/>
          <w:bCs/>
          <w:sz w:val="24"/>
          <w:szCs w:val="24"/>
          <w:lang w:val="en-US" w:eastAsia="zh-CN"/>
        </w:rPr>
        <w:drawing>
          <wp:inline distT="0" distB="0" distL="114300" distR="114300">
            <wp:extent cx="6259195" cy="2545715"/>
            <wp:effectExtent l="0" t="0" r="8255" b="6985"/>
            <wp:docPr id="1" name="图片 1" descr="169829034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98290345148"/>
                    <pic:cNvPicPr>
                      <a:picLocks noChangeAspect="1"/>
                    </pic:cNvPicPr>
                  </pic:nvPicPr>
                  <pic:blipFill>
                    <a:blip r:embed="rId4"/>
                    <a:stretch>
                      <a:fillRect/>
                    </a:stretch>
                  </pic:blipFill>
                  <pic:spPr>
                    <a:xfrm>
                      <a:off x="0" y="0"/>
                      <a:ext cx="6259195" cy="2545715"/>
                    </a:xfrm>
                    <a:prstGeom prst="rect">
                      <a:avLst/>
                    </a:prstGeom>
                  </pic:spPr>
                </pic:pic>
              </a:graphicData>
            </a:graphic>
          </wp:inline>
        </w:drawing>
      </w:r>
      <w:bookmarkStart w:id="0" w:name="_GoBack"/>
      <w:bookmarkEnd w:id="0"/>
    </w:p>
    <w:sectPr>
      <w:pgSz w:w="11906" w:h="16838"/>
      <w:pgMar w:top="1304" w:right="680" w:bottom="1191" w:left="680" w:header="851" w:footer="992"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简体">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ACBF02"/>
    <w:multiLevelType w:val="singleLevel"/>
    <w:tmpl w:val="C5ACBF02"/>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yYTIxZDJiOWVhYTI3ODAwNWRiNmUzODU3NmVmNjUifQ=="/>
  </w:docVars>
  <w:rsids>
    <w:rsidRoot w:val="7A7E727F"/>
    <w:rsid w:val="01883D9A"/>
    <w:rsid w:val="01B05BB5"/>
    <w:rsid w:val="01B44B1D"/>
    <w:rsid w:val="02716CF9"/>
    <w:rsid w:val="039673A3"/>
    <w:rsid w:val="03E025AA"/>
    <w:rsid w:val="03E162B9"/>
    <w:rsid w:val="04F33787"/>
    <w:rsid w:val="054504C0"/>
    <w:rsid w:val="054F63AC"/>
    <w:rsid w:val="05A50F26"/>
    <w:rsid w:val="05F23464"/>
    <w:rsid w:val="06991FEC"/>
    <w:rsid w:val="06CF1D7C"/>
    <w:rsid w:val="07455C49"/>
    <w:rsid w:val="07C14F45"/>
    <w:rsid w:val="08296D14"/>
    <w:rsid w:val="097A75F7"/>
    <w:rsid w:val="0AB466DB"/>
    <w:rsid w:val="0CE46974"/>
    <w:rsid w:val="0D4D023A"/>
    <w:rsid w:val="0DA42D82"/>
    <w:rsid w:val="0EB3387D"/>
    <w:rsid w:val="0F0D3427"/>
    <w:rsid w:val="0F2E1085"/>
    <w:rsid w:val="0FE30E5E"/>
    <w:rsid w:val="11A558F3"/>
    <w:rsid w:val="129D6417"/>
    <w:rsid w:val="13433CEC"/>
    <w:rsid w:val="13821BF9"/>
    <w:rsid w:val="13D87F86"/>
    <w:rsid w:val="17C34F45"/>
    <w:rsid w:val="191E000B"/>
    <w:rsid w:val="1A024B6F"/>
    <w:rsid w:val="1A5E00DB"/>
    <w:rsid w:val="1A850AAD"/>
    <w:rsid w:val="1AD1329A"/>
    <w:rsid w:val="1B1E7185"/>
    <w:rsid w:val="1C6861D3"/>
    <w:rsid w:val="1C9F0DA4"/>
    <w:rsid w:val="1E01559D"/>
    <w:rsid w:val="1E3A32EB"/>
    <w:rsid w:val="1E4C0F92"/>
    <w:rsid w:val="1E526EBB"/>
    <w:rsid w:val="1EC21B14"/>
    <w:rsid w:val="1F2C10C4"/>
    <w:rsid w:val="1F673119"/>
    <w:rsid w:val="1FF95C9E"/>
    <w:rsid w:val="214912EA"/>
    <w:rsid w:val="22631CF9"/>
    <w:rsid w:val="23484E80"/>
    <w:rsid w:val="23E132EE"/>
    <w:rsid w:val="26D66199"/>
    <w:rsid w:val="285A5C6C"/>
    <w:rsid w:val="29CB0F73"/>
    <w:rsid w:val="2C35005E"/>
    <w:rsid w:val="2E0407F7"/>
    <w:rsid w:val="2FB15CC3"/>
    <w:rsid w:val="2FED3631"/>
    <w:rsid w:val="30DD458A"/>
    <w:rsid w:val="31CE3A04"/>
    <w:rsid w:val="31EE15B6"/>
    <w:rsid w:val="31F27859"/>
    <w:rsid w:val="32D71AB0"/>
    <w:rsid w:val="339701DF"/>
    <w:rsid w:val="35C5311A"/>
    <w:rsid w:val="35ED2AB1"/>
    <w:rsid w:val="35FC7398"/>
    <w:rsid w:val="36275C7C"/>
    <w:rsid w:val="36622D13"/>
    <w:rsid w:val="36DF37DE"/>
    <w:rsid w:val="3A8962B3"/>
    <w:rsid w:val="3DAA3151"/>
    <w:rsid w:val="3F7E31F4"/>
    <w:rsid w:val="4015201A"/>
    <w:rsid w:val="402B75B0"/>
    <w:rsid w:val="40380C9F"/>
    <w:rsid w:val="40BA0482"/>
    <w:rsid w:val="41AF7C19"/>
    <w:rsid w:val="42362AB8"/>
    <w:rsid w:val="42482FB7"/>
    <w:rsid w:val="42CB555E"/>
    <w:rsid w:val="430721BE"/>
    <w:rsid w:val="43432596"/>
    <w:rsid w:val="437E2A66"/>
    <w:rsid w:val="43AE2619"/>
    <w:rsid w:val="45663E19"/>
    <w:rsid w:val="45851994"/>
    <w:rsid w:val="45916612"/>
    <w:rsid w:val="4607403F"/>
    <w:rsid w:val="48E66057"/>
    <w:rsid w:val="491E44E9"/>
    <w:rsid w:val="492455A6"/>
    <w:rsid w:val="499D6721"/>
    <w:rsid w:val="4A3F1A5B"/>
    <w:rsid w:val="4BF86C53"/>
    <w:rsid w:val="4CF52179"/>
    <w:rsid w:val="4F86166F"/>
    <w:rsid w:val="50E73EAB"/>
    <w:rsid w:val="523A22B0"/>
    <w:rsid w:val="529958D8"/>
    <w:rsid w:val="52ED5D11"/>
    <w:rsid w:val="53872AC4"/>
    <w:rsid w:val="53FE71A1"/>
    <w:rsid w:val="55F22032"/>
    <w:rsid w:val="56CF1BDA"/>
    <w:rsid w:val="56F7427C"/>
    <w:rsid w:val="578810DA"/>
    <w:rsid w:val="58210A8D"/>
    <w:rsid w:val="589C3E4F"/>
    <w:rsid w:val="597F600D"/>
    <w:rsid w:val="597F632B"/>
    <w:rsid w:val="59A83E38"/>
    <w:rsid w:val="5A7D6AFC"/>
    <w:rsid w:val="5BE17B86"/>
    <w:rsid w:val="5CFD74C5"/>
    <w:rsid w:val="5DBC3644"/>
    <w:rsid w:val="5F790339"/>
    <w:rsid w:val="5F7E103A"/>
    <w:rsid w:val="5FB40444"/>
    <w:rsid w:val="61D92EFB"/>
    <w:rsid w:val="626B0A39"/>
    <w:rsid w:val="626D33A6"/>
    <w:rsid w:val="63D81AA0"/>
    <w:rsid w:val="641A130C"/>
    <w:rsid w:val="650448B5"/>
    <w:rsid w:val="65E779AA"/>
    <w:rsid w:val="665F7F21"/>
    <w:rsid w:val="66A0773C"/>
    <w:rsid w:val="66CE6ACD"/>
    <w:rsid w:val="6931690C"/>
    <w:rsid w:val="695B3332"/>
    <w:rsid w:val="69643FDF"/>
    <w:rsid w:val="6A4A4211"/>
    <w:rsid w:val="6AD31B17"/>
    <w:rsid w:val="6B0F2F33"/>
    <w:rsid w:val="6B2F6BB4"/>
    <w:rsid w:val="6BCE352F"/>
    <w:rsid w:val="6BD82236"/>
    <w:rsid w:val="6BF876FF"/>
    <w:rsid w:val="6D8842CC"/>
    <w:rsid w:val="6DD30EA9"/>
    <w:rsid w:val="6DD84785"/>
    <w:rsid w:val="6FEE6DEB"/>
    <w:rsid w:val="70095846"/>
    <w:rsid w:val="709A147C"/>
    <w:rsid w:val="70A435D9"/>
    <w:rsid w:val="70D71620"/>
    <w:rsid w:val="71657494"/>
    <w:rsid w:val="733072CC"/>
    <w:rsid w:val="735B61E1"/>
    <w:rsid w:val="7424202C"/>
    <w:rsid w:val="74E05F54"/>
    <w:rsid w:val="76D603F0"/>
    <w:rsid w:val="77231553"/>
    <w:rsid w:val="777641E9"/>
    <w:rsid w:val="78B25CC7"/>
    <w:rsid w:val="790955E4"/>
    <w:rsid w:val="79F05A4C"/>
    <w:rsid w:val="7A736FA0"/>
    <w:rsid w:val="7A7E727F"/>
    <w:rsid w:val="7A8601D8"/>
    <w:rsid w:val="7B110FD8"/>
    <w:rsid w:val="7B3B6ACB"/>
    <w:rsid w:val="7B952DC8"/>
    <w:rsid w:val="7D3D7B4F"/>
    <w:rsid w:val="7D6A5C9E"/>
    <w:rsid w:val="7E036A73"/>
    <w:rsid w:val="7F424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autoSpaceDE w:val="0"/>
      <w:autoSpaceDN w:val="0"/>
      <w:adjustRightInd w:val="0"/>
      <w:spacing w:line="500" w:lineRule="exact"/>
      <w:jc w:val="center"/>
      <w:outlineLvl w:val="0"/>
    </w:pPr>
    <w:rPr>
      <w:rFonts w:ascii="宋体" w:hAnsi="宋体"/>
      <w:b/>
      <w:kern w:val="0"/>
      <w:sz w:val="36"/>
      <w:szCs w:val="36"/>
      <w:lang w:val="zh-CN"/>
    </w:rPr>
  </w:style>
  <w:style w:type="paragraph" w:styleId="3">
    <w:name w:val="heading 2"/>
    <w:basedOn w:val="1"/>
    <w:next w:val="1"/>
    <w:qFormat/>
    <w:uiPriority w:val="0"/>
    <w:pPr>
      <w:keepNext/>
      <w:keepLines/>
      <w:spacing w:beforeLines="0" w:beforeAutospacing="0" w:afterLines="0" w:afterAutospacing="0" w:line="560" w:lineRule="exact"/>
      <w:ind w:firstLine="0" w:firstLineChars="0"/>
      <w:jc w:val="center"/>
      <w:outlineLvl w:val="1"/>
    </w:pPr>
    <w:rPr>
      <w:rFonts w:ascii="Arial" w:hAnsi="Arial"/>
      <w:b/>
      <w:sz w:val="36"/>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Emphasis"/>
    <w:basedOn w:val="7"/>
    <w:qFormat/>
    <w:uiPriority w:val="0"/>
    <w:rPr>
      <w:i/>
    </w:rPr>
  </w:style>
  <w:style w:type="paragraph" w:styleId="9">
    <w:name w:val="List Paragraph"/>
    <w:basedOn w:val="1"/>
    <w:qFormat/>
    <w:uiPriority w:val="34"/>
    <w:pPr>
      <w:ind w:firstLine="420" w:firstLineChars="200"/>
    </w:pPr>
  </w:style>
  <w:style w:type="paragraph" w:customStyle="1" w:styleId="10">
    <w:name w:val="p0"/>
    <w:basedOn w:val="1"/>
    <w:qFormat/>
    <w:uiPriority w:val="0"/>
    <w:pPr>
      <w:widowControl/>
    </w:pPr>
    <w:rPr>
      <w:kern w:val="0"/>
      <w:szCs w:val="21"/>
    </w:rPr>
  </w:style>
  <w:style w:type="character" w:customStyle="1" w:styleId="11">
    <w:name w:val="font21"/>
    <w:basedOn w:val="7"/>
    <w:uiPriority w:val="0"/>
    <w:rPr>
      <w:rFonts w:hint="eastAsia" w:ascii="宋体" w:hAnsi="宋体" w:eastAsia="宋体" w:cs="宋体"/>
      <w:b/>
      <w:bCs/>
      <w:color w:val="000000"/>
      <w:sz w:val="32"/>
      <w:szCs w:val="32"/>
      <w:u w:val="none"/>
    </w:rPr>
  </w:style>
  <w:style w:type="character" w:customStyle="1" w:styleId="12">
    <w:name w:val="font31"/>
    <w:basedOn w:val="7"/>
    <w:uiPriority w:val="0"/>
    <w:rPr>
      <w:rFonts w:hint="eastAsia" w:ascii="宋体" w:hAnsi="宋体" w:eastAsia="宋体" w:cs="宋体"/>
      <w:color w:val="000000"/>
      <w:sz w:val="32"/>
      <w:szCs w:val="32"/>
      <w:u w:val="none"/>
    </w:rPr>
  </w:style>
  <w:style w:type="character" w:customStyle="1" w:styleId="13">
    <w:name w:val="font51"/>
    <w:basedOn w:val="7"/>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2898</Words>
  <Characters>3554</Characters>
  <Lines>0</Lines>
  <Paragraphs>0</Paragraphs>
  <TotalTime>15</TotalTime>
  <ScaleCrop>false</ScaleCrop>
  <LinksUpToDate>false</LinksUpToDate>
  <CharactersWithSpaces>3599</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2021-03-03T01:22:00Z</dcterms:created>
  <dc:creator>赣州建宏科技小陈</dc:creator>
  <cp:lastModifiedBy>Administrator</cp:lastModifiedBy>
  <cp:lastPrinted>2021-09-25T08:18:00Z</cp:lastPrinted>
  <dcterms:modified xsi:type="dcterms:W3CDTF">2023-10-26T03:22:22Z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C56ADFBAAA604E05999EC86D59452653_13</vt:lpwstr>
  </property>
</Properties>
</file>