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180"/>
          <w:tab w:val="left" w:pos="360"/>
          <w:tab w:val="left" w:pos="540"/>
          <w:tab w:val="left" w:pos="7020"/>
          <w:tab w:val="left" w:pos="7380"/>
          <w:tab w:val="left" w:pos="8640"/>
        </w:tabs>
        <w:spacing w:after="0" w:line="1400" w:lineRule="exact"/>
        <w:jc w:val="distribute"/>
        <w:rPr>
          <w:rFonts w:ascii="方正小标宋简体" w:hAnsi="方正小标宋简体" w:eastAsia="方正小标宋简体" w:cs="方正小标宋简体"/>
          <w:bCs/>
          <w:color w:val="FF0000"/>
          <w:spacing w:val="8"/>
          <w:w w:val="51"/>
          <w:kern w:val="0"/>
          <w:sz w:val="130"/>
          <w:szCs w:val="30"/>
        </w:rPr>
      </w:pPr>
      <w:r>
        <w:rPr>
          <w:rFonts w:hint="eastAsia" w:ascii="方正小标宋简体" w:hAnsi="方正小标宋简体" w:eastAsia="方正小标宋简体" w:cs="方正小标宋简体"/>
          <w:bCs/>
          <w:color w:val="FF0000"/>
          <w:spacing w:val="8"/>
          <w:w w:val="51"/>
          <w:kern w:val="0"/>
          <w:sz w:val="130"/>
          <w:szCs w:val="30"/>
        </w:rPr>
        <w:t>共青团南昌工学院委员会</w:t>
      </w:r>
    </w:p>
    <w:p>
      <w:pPr>
        <w:spacing w:line="500" w:lineRule="atLeast"/>
        <w:rPr>
          <w:b/>
          <w:sz w:val="30"/>
          <w:szCs w:val="32"/>
        </w:rPr>
      </w:pPr>
    </w:p>
    <w:p>
      <w:pPr>
        <w:spacing w:line="500" w:lineRule="atLeast"/>
        <w:ind w:right="6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南工团字[20</w:t>
      </w: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default"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号</w:t>
      </w:r>
    </w:p>
    <w:p>
      <w:pPr>
        <w:pStyle w:val="3"/>
        <w:tabs>
          <w:tab w:val="left" w:pos="360"/>
          <w:tab w:val="left" w:pos="7200"/>
          <w:tab w:val="left" w:pos="7380"/>
        </w:tabs>
        <w:spacing w:after="0" w:line="240" w:lineRule="auto"/>
        <w:jc w:val="center"/>
        <w:rPr>
          <w:color w:val="000000"/>
        </w:rPr>
      </w:pPr>
      <w:r>
        <w:drawing>
          <wp:anchor distT="0" distB="0" distL="0" distR="0" simplePos="0" relativeHeight="251659264" behindDoc="1" locked="0" layoutInCell="1" allowOverlap="1">
            <wp:simplePos x="0" y="0"/>
            <wp:positionH relativeFrom="column">
              <wp:posOffset>2628900</wp:posOffset>
            </wp:positionH>
            <wp:positionV relativeFrom="paragraph">
              <wp:posOffset>6985</wp:posOffset>
            </wp:positionV>
            <wp:extent cx="361315" cy="382905"/>
            <wp:effectExtent l="0" t="0" r="635" b="17145"/>
            <wp:wrapNone/>
            <wp:docPr id="1027" name="图片 3"/>
            <wp:cNvGraphicFramePr/>
            <a:graphic xmlns:a="http://schemas.openxmlformats.org/drawingml/2006/main">
              <a:graphicData uri="http://schemas.openxmlformats.org/drawingml/2006/picture">
                <pic:pic xmlns:pic="http://schemas.openxmlformats.org/drawingml/2006/picture">
                  <pic:nvPicPr>
                    <pic:cNvPr id="1027" name="图片 3"/>
                    <pic:cNvPicPr/>
                  </pic:nvPicPr>
                  <pic:blipFill>
                    <a:blip r:embed="rId4" cstate="print"/>
                    <a:srcRect/>
                    <a:stretch>
                      <a:fillRect/>
                    </a:stretch>
                  </pic:blipFill>
                  <pic:spPr>
                    <a:xfrm>
                      <a:off x="0" y="0"/>
                      <a:ext cx="361314" cy="382905"/>
                    </a:xfrm>
                    <a:prstGeom prst="rect">
                      <a:avLst/>
                    </a:prstGeom>
                    <a:solidFill>
                      <a:srgbClr val="FF0000"/>
                    </a:solidFill>
                    <a:ln>
                      <a:noFill/>
                    </a:ln>
                  </pic:spPr>
                </pic:pic>
              </a:graphicData>
            </a:graphic>
          </wp:anchor>
        </w:drawing>
      </w:r>
      <w:r>
        <w:rPr>
          <w:color w:val="000000"/>
        </w:rPr>
        <mc:AlternateContent>
          <mc:Choice Requires="wps">
            <w:drawing>
              <wp:anchor distT="0" distB="0" distL="0" distR="0" simplePos="0" relativeHeight="251660288" behindDoc="0" locked="0" layoutInCell="1" allowOverlap="1">
                <wp:simplePos x="0" y="0"/>
                <wp:positionH relativeFrom="column">
                  <wp:posOffset>0</wp:posOffset>
                </wp:positionH>
                <wp:positionV relativeFrom="paragraph">
                  <wp:posOffset>208280</wp:posOffset>
                </wp:positionV>
                <wp:extent cx="2514600" cy="0"/>
                <wp:effectExtent l="0" t="9525" r="0" b="9525"/>
                <wp:wrapNone/>
                <wp:docPr id="1028" name="直线 3"/>
                <wp:cNvGraphicFramePr/>
                <a:graphic xmlns:a="http://schemas.openxmlformats.org/drawingml/2006/main">
                  <a:graphicData uri="http://schemas.microsoft.com/office/word/2010/wordprocessingShape">
                    <wps:wsp>
                      <wps:cNvCnPr/>
                      <wps:spPr>
                        <a:xfrm>
                          <a:off x="0" y="0"/>
                          <a:ext cx="2514600" cy="0"/>
                        </a:xfrm>
                        <a:prstGeom prst="line">
                          <a:avLst/>
                        </a:prstGeom>
                        <a:ln w="19050" cap="flat" cmpd="sng">
                          <a:solidFill>
                            <a:srgbClr val="FF0000"/>
                          </a:solidFill>
                          <a:prstDash val="solid"/>
                          <a:round/>
                          <a:headEnd type="none" w="med" len="med"/>
                          <a:tailEnd type="none" w="med" len="med"/>
                        </a:ln>
                      </wps:spPr>
                      <wps:bodyPr/>
                    </wps:wsp>
                  </a:graphicData>
                </a:graphic>
              </wp:anchor>
            </w:drawing>
          </mc:Choice>
          <mc:Fallback>
            <w:pict>
              <v:line id="直线 3" o:spid="_x0000_s1026" o:spt="20" style="position:absolute;left:0pt;margin-left:0pt;margin-top:16.4pt;height:0pt;width:198pt;z-index:251660288;mso-width-relative:page;mso-height-relative:page;" filled="f" stroked="t" coordsize="21600,21600" o:gfxdata="UEsDBAoAAAAAAIdO4kAAAAAAAAAAAAAAAAAEAAAAZHJzL1BLAwQUAAAACACHTuJAloeYstUAAAAG&#10;AQAADwAAAGRycy9kb3ducmV2LnhtbE2PwU7DMBBE70j9B2uRuFEnrRQgxOkhUlUOlaoGDnBz4yWJ&#10;sNdR7Dbp37OIAxxnZjXzttjMzooLjqH3pCBdJiCQGm96ahW8vW7vH0GEqMlo6wkVXDHAplzcFDo3&#10;fqIjXurYCi6hkGsFXYxDLmVoOnQ6LP2AxNmnH52OLMdWmlFPXO6sXCVJJp3uiRc6PWDVYfNVn52C&#10;98PuMOyrKvMvH7tpbrO0Pj5Ype5u0+QZRMQ5/h3DDz6jQ8lMJ38mE4RVwI9EBesV83O6fsrYOP0a&#10;sizkf/zyG1BLAwQUAAAACACHTuJA5xCjMegBAADdAwAADgAAAGRycy9lMm9Eb2MueG1srVNLjhMx&#10;EN0jcQfLe9KdwIyglc4sJoQNgkjAASq2u9uSf3I56eQsXIMVG44z16DszmRg2GRBFp2yXfX83qvy&#10;8u5oDTuoiNq7ls9nNWfKCS+161v+7evm1VvOMIGTYLxTLT8p5Herly+WY2jUwg/eSBUZgThsxtDy&#10;IaXQVBWKQVnAmQ/K0WHno4VEy9hXMsJI6NZUi7q+rUYfZYheKETaXU+H/IwYrwH0XaeFWnuxt8ql&#10;CTUqA4kk4aAD8lVh23VKpM9dhyox03JSmsqXLqF4l7/VaglNHyEMWpwpwDUUnmmyoB1deoFaQwK2&#10;j/ofKKtF9Oi7NBPeVpOQ4gipmNfPvPkyQFBFC1mN4WI6/j9Y8emwjUxLmoR6QZ13YKnnD99/PPz8&#10;xV5ne8aADWXdu208rzBsY9Z67KLN/6SCHYulp4ul6piYoM3FzfzNbU1ui8ez6qkwREwflLcsBy03&#10;2mW10MDhIya6jFIfU/K2cWwknu/qm4wHNHsd9ZxCG4g/ur4UozdabrQxuQRjv7s3kR2A+r/Z1PTL&#10;mgj4r7R8yxpwmPLK0TQZ0e+dpAJoBgXyvZMsnQIZ5Ohp8MzGKsmZUfSSclQyE2hzTSaRMI64ZIMn&#10;S3O08/JUnC771PXC9jyheaz+XJfqp1e5+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Wh5iy1QAA&#10;AAYBAAAPAAAAAAAAAAEAIAAAACIAAABkcnMvZG93bnJldi54bWxQSwECFAAUAAAACACHTuJA5xCj&#10;MegBAADdAwAADgAAAAAAAAABACAAAAAkAQAAZHJzL2Uyb0RvYy54bWxQSwUGAAAAAAYABgBZAQAA&#10;fgUAAAAA&#10;">
                <v:fill on="f" focussize="0,0"/>
                <v:stroke weight="1.5pt" color="#FF0000" joinstyle="round"/>
                <v:imagedata o:title=""/>
                <o:lock v:ext="edit" aspectratio="f"/>
              </v:line>
            </w:pict>
          </mc:Fallback>
        </mc:AlternateContent>
      </w:r>
      <w:r>
        <w:rPr>
          <w:color w:val="000000"/>
        </w:rPr>
        <mc:AlternateContent>
          <mc:Choice Requires="wps">
            <w:drawing>
              <wp:anchor distT="0" distB="0" distL="0" distR="0" simplePos="0" relativeHeight="251661312" behindDoc="0" locked="0" layoutInCell="1" allowOverlap="1">
                <wp:simplePos x="0" y="0"/>
                <wp:positionH relativeFrom="column">
                  <wp:posOffset>3086100</wp:posOffset>
                </wp:positionH>
                <wp:positionV relativeFrom="paragraph">
                  <wp:posOffset>208280</wp:posOffset>
                </wp:positionV>
                <wp:extent cx="2514600" cy="0"/>
                <wp:effectExtent l="0" t="9525" r="0" b="9525"/>
                <wp:wrapNone/>
                <wp:docPr id="1029" name="直线 4"/>
                <wp:cNvGraphicFramePr/>
                <a:graphic xmlns:a="http://schemas.openxmlformats.org/drawingml/2006/main">
                  <a:graphicData uri="http://schemas.microsoft.com/office/word/2010/wordprocessingShape">
                    <wps:wsp>
                      <wps:cNvCnPr/>
                      <wps:spPr>
                        <a:xfrm>
                          <a:off x="0" y="0"/>
                          <a:ext cx="2514600" cy="0"/>
                        </a:xfrm>
                        <a:prstGeom prst="line">
                          <a:avLst/>
                        </a:prstGeom>
                        <a:ln w="19050" cap="flat" cmpd="sng">
                          <a:solidFill>
                            <a:srgbClr val="FF0000"/>
                          </a:solidFill>
                          <a:prstDash val="solid"/>
                          <a:round/>
                          <a:headEnd type="none" w="med" len="med"/>
                          <a:tailEnd type="none" w="med" len="med"/>
                        </a:ln>
                      </wps:spPr>
                      <wps:bodyPr/>
                    </wps:wsp>
                  </a:graphicData>
                </a:graphic>
              </wp:anchor>
            </w:drawing>
          </mc:Choice>
          <mc:Fallback>
            <w:pict>
              <v:line id="直线 4" o:spid="_x0000_s1026" o:spt="20" style="position:absolute;left:0pt;margin-left:243pt;margin-top:16.4pt;height:0pt;width:198pt;z-index:251661312;mso-width-relative:page;mso-height-relative:page;" filled="f" stroked="t" coordsize="21600,21600" o:gfxdata="UEsDBAoAAAAAAIdO4kAAAAAAAAAAAAAAAAAEAAAAZHJzL1BLAwQUAAAACACHTuJAzEcW2tcAAAAJ&#10;AQAADwAAAGRycy9kb3ducmV2LnhtbE2PQU+EMBCF7yb+h2ZMvLkFNEiQsgcSsx5MNose9NalIxDb&#10;KaHdBf+9Yzzocd68vPe+ars6K844h9GTgnSTgEDqvBmpV/D68nhTgAhRk9HWEyr4wgDb+vKi0qXx&#10;Cx3w3MZecAiFUisYYpxKKUM3oNNh4yck/n342enI59xLM+uFw52VWZLk0umRuGHQEzYDdp/tySl4&#10;2+/203PT5P7pfbesfZ62h3ur1PVVmjyAiLjGPzP8zOfpUPOmoz+RCcIquCtyZokKbjNGYENRZCwc&#10;fwVZV/I/Qf0NUEsDBBQAAAAIAIdO4kCehTQJ6QEAAN0DAAAOAAAAZHJzL2Uyb0RvYy54bWytU0tu&#10;2zAQ3RfoHQjua8lGEjSC5SziupuiNdDmAGOSsgjwBw5t2WfpNbrqpsfJNTqkHKdNNl5EC2pIzjy+&#10;9zic3x2sYXsVUXvX8umk5kw54aV225Y//Fh9+MgZJnASjHeq5UeF/G7x/t18CI2a+d4bqSIjEIfN&#10;EFrepxSaqkLRKws48UE52ux8tJBoGreVjDAQujXVrK5vqsFHGaIXCpFWl+MmPyHGSwB912mhll7s&#10;rHJpRI3KQCJJ2OuAfFHYdp0S6VvXoUrMtJyUpjLSIRRv8lgt5tBsI4ReixMFuITCC00WtKNDz1BL&#10;SMB2Ub+CslpEj75LE+FtNQopjpCKaf3Cm+89BFW0kNUYzqbj28GKr/t1ZFpSJ9SzW84cWLrzx5+/&#10;Hn//YVfZniFgQ1n3bh1PMwzrmLUeumjzn1SwQ7H0eLZUHRITtDi7nl7d1OS2eNqrngtDxPRZecty&#10;0HKjXVYLDey/YKLDKPUpJS8bxwbieVtfZzyg3uvozim0gfij25Zi9EbLlTYml2Dcbu5NZHug+1+t&#10;avqyJgL+Ly2fsgTsx7yyNXZG9DsnqQCaXoH85CRLx0AGOXoaPLOxSnJmFL2kHJXMBNpckkkkjCMu&#10;2eDR0hxtvDwWp8s63Xphe+rQ3Fb/zkv186tc/A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MRxba&#10;1wAAAAkBAAAPAAAAAAAAAAEAIAAAACIAAABkcnMvZG93bnJldi54bWxQSwECFAAUAAAACACHTuJA&#10;noU0CekBAADdAwAADgAAAAAAAAABACAAAAAmAQAAZHJzL2Uyb0RvYy54bWxQSwUGAAAAAAYABgBZ&#10;AQAAgQUAAAAA&#10;">
                <v:fill on="f" focussize="0,0"/>
                <v:stroke weight="1.5pt" color="#FF0000" joinstyle="round"/>
                <v:imagedata o:title=""/>
                <o:lock v:ext="edit" aspectratio="f"/>
              </v:line>
            </w:pict>
          </mc:Fallback>
        </mc:AlternateContent>
      </w:r>
    </w:p>
    <w:p>
      <w:pPr>
        <w:spacing w:before="120" w:beforeLines="50" w:after="120" w:afterLines="50" w:line="360" w:lineRule="auto"/>
        <w:jc w:val="center"/>
        <w:rPr>
          <w:rFonts w:ascii="方正小标宋简体" w:hAnsi="仿宋_GB2312" w:eastAsia="方正小标宋简体" w:cs="仿宋_GB2312"/>
          <w:b/>
          <w:bCs/>
          <w:sz w:val="36"/>
        </w:rPr>
      </w:pPr>
    </w:p>
    <w:p>
      <w:pPr>
        <w:jc w:val="center"/>
        <w:rPr>
          <w:rFonts w:hint="eastAsia" w:ascii="方正小标宋简体" w:hAnsi="方正小标宋简体" w:eastAsia="方正小标宋简体" w:cs="方正小标宋简体"/>
          <w:color w:val="333333"/>
          <w:sz w:val="44"/>
          <w:szCs w:val="44"/>
          <w:shd w:val="clear" w:color="auto" w:fill="FFFFFF"/>
          <w:lang w:eastAsia="zh-Hans"/>
        </w:rPr>
      </w:pPr>
      <w:bookmarkStart w:id="0" w:name="_GoBack"/>
      <w:r>
        <w:rPr>
          <w:rFonts w:hint="eastAsia" w:ascii="方正小标宋简体" w:hAnsi="方正小标宋简体" w:eastAsia="方正小标宋简体" w:cs="方正小标宋简体"/>
          <w:color w:val="333333"/>
          <w:sz w:val="44"/>
          <w:szCs w:val="44"/>
          <w:shd w:val="clear" w:color="auto" w:fill="FFFFFF"/>
          <w:lang w:eastAsia="zh-Hans"/>
        </w:rPr>
        <w:t>关于举办第十四届“挑战杯”大学生创业</w:t>
      </w:r>
    </w:p>
    <w:p>
      <w:pPr>
        <w:jc w:val="center"/>
        <w:rPr>
          <w:rFonts w:hint="eastAsia" w:ascii="方正小标宋简体" w:hAnsi="方正小标宋简体" w:eastAsia="方正小标宋简体" w:cs="方正小标宋简体"/>
          <w:color w:val="333333"/>
          <w:sz w:val="44"/>
          <w:szCs w:val="44"/>
          <w:shd w:val="clear" w:color="auto" w:fill="FFFFFF"/>
          <w:lang w:eastAsia="zh-Hans"/>
        </w:rPr>
      </w:pPr>
      <w:r>
        <w:rPr>
          <w:rFonts w:hint="eastAsia" w:ascii="方正小标宋简体" w:hAnsi="方正小标宋简体" w:eastAsia="方正小标宋简体" w:cs="方正小标宋简体"/>
          <w:color w:val="333333"/>
          <w:sz w:val="44"/>
          <w:szCs w:val="44"/>
          <w:shd w:val="clear" w:color="auto" w:fill="FFFFFF"/>
          <w:lang w:eastAsia="zh-Hans"/>
        </w:rPr>
        <w:t>计划竞赛校内选拔赛的通知</w:t>
      </w:r>
    </w:p>
    <w:bookmarkEnd w:id="0"/>
    <w:p>
      <w:pPr>
        <w:rPr>
          <w:rFonts w:hint="eastAsia" w:ascii="方正小标宋简体" w:hAnsi="方正小标宋简体" w:eastAsia="方正小标宋简体" w:cs="方正小标宋简体"/>
          <w:color w:val="333333"/>
          <w:sz w:val="44"/>
          <w:szCs w:val="44"/>
          <w:shd w:val="clear" w:color="auto" w:fill="FFFFFF"/>
          <w:lang w:eastAsia="zh-Hans"/>
        </w:rPr>
      </w:pPr>
    </w:p>
    <w:p>
      <w:pPr>
        <w:autoSpaceDE w:val="0"/>
        <w:autoSpaceDN w:val="0"/>
        <w:adjustRightInd w:val="0"/>
        <w:spacing w:line="520" w:lineRule="exact"/>
        <w:rPr>
          <w:rFonts w:hint="eastAsia" w:ascii="仿宋_GB2312" w:hAnsi="仿宋_GB2312" w:eastAsia="仿宋_GB2312" w:cs="仿宋_GB2312"/>
          <w:color w:val="000000"/>
          <w:kern w:val="0"/>
          <w:sz w:val="32"/>
          <w:szCs w:val="32"/>
          <w:lang w:eastAsia="zh-Hans"/>
        </w:rPr>
      </w:pPr>
      <w:r>
        <w:rPr>
          <w:rFonts w:hint="eastAsia" w:ascii="仿宋_GB2312" w:hAnsi="仿宋_GB2312" w:eastAsia="仿宋_GB2312" w:cs="仿宋_GB2312"/>
          <w:color w:val="000000"/>
          <w:kern w:val="0"/>
          <w:sz w:val="32"/>
          <w:szCs w:val="32"/>
          <w:lang w:eastAsia="zh-Hans"/>
        </w:rPr>
        <w:t>各二级学院：</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为深入学习贯彻习近平新时代中国特色社会主义思想，贯彻落实国家双创工作部署，进一步聚焦为党育人功能，引导和激励学生激发创新精神，培养创业意识，把握时代脉搏，通过开展广泛的社会实践、深刻的社会观察，不断增强对国情社情的了解，将所学知识与经济社会发展紧密结合，积极投身实践，提升社会化能力，同时为2024年第十四届“挑战杯”中国大学生创业计划竞赛选拔参赛作品，以及2025年第十九届“挑战杯”全国大学生课外学术科技作品竞赛培育参赛作品，经研究决定，举办</w:t>
      </w:r>
      <w:r>
        <w:rPr>
          <w:rFonts w:hint="eastAsia" w:ascii="仿宋_GB2312" w:hAnsi="仿宋_GB2312" w:eastAsia="仿宋_GB2312" w:cs="仿宋_GB2312"/>
          <w:color w:val="000000"/>
          <w:kern w:val="0"/>
          <w:sz w:val="32"/>
          <w:szCs w:val="32"/>
          <w:lang w:val="en-US" w:eastAsia="zh-CN"/>
        </w:rPr>
        <w:t>南昌工学院</w:t>
      </w:r>
      <w:r>
        <w:rPr>
          <w:rFonts w:hint="eastAsia" w:ascii="仿宋_GB2312" w:hAnsi="仿宋_GB2312" w:eastAsia="仿宋_GB2312" w:cs="仿宋_GB2312"/>
          <w:color w:val="000000"/>
          <w:kern w:val="0"/>
          <w:sz w:val="32"/>
          <w:szCs w:val="32"/>
          <w:lang w:val="en-US" w:eastAsia="zh-Hans"/>
        </w:rPr>
        <w:t>第十四届“挑战杯”大学生创业计划竞赛校内选拔赛。现将大赛有关事项通知如下：</w:t>
      </w:r>
    </w:p>
    <w:p>
      <w:pPr>
        <w:tabs>
          <w:tab w:val="left" w:pos="1890"/>
        </w:tabs>
        <w:autoSpaceDE w:val="0"/>
        <w:autoSpaceDN w:val="0"/>
        <w:adjustRightInd w:val="0"/>
        <w:spacing w:line="520" w:lineRule="exact"/>
        <w:ind w:firstLine="640" w:firstLineChars="200"/>
        <w:rPr>
          <w:rFonts w:hint="eastAsia" w:ascii="黑体" w:hAnsi="黑体" w:eastAsia="黑体" w:cs="黑体"/>
          <w:color w:val="000000"/>
          <w:kern w:val="0"/>
          <w:sz w:val="32"/>
          <w:szCs w:val="32"/>
          <w:lang w:val="en-US" w:eastAsia="zh-Hans"/>
        </w:rPr>
      </w:pPr>
      <w:r>
        <w:rPr>
          <w:rFonts w:hint="eastAsia" w:ascii="黑体" w:hAnsi="黑体" w:eastAsia="黑体" w:cs="黑体"/>
          <w:color w:val="000000"/>
          <w:kern w:val="0"/>
          <w:sz w:val="32"/>
          <w:szCs w:val="32"/>
          <w:lang w:val="en-US" w:eastAsia="zh-Hans"/>
        </w:rPr>
        <w:t>一、参赛对象</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2024年6月1日前正式注册的全日制非成人教育的在校生。</w:t>
      </w:r>
    </w:p>
    <w:p>
      <w:pPr>
        <w:tabs>
          <w:tab w:val="left" w:pos="1890"/>
        </w:tabs>
        <w:autoSpaceDE w:val="0"/>
        <w:autoSpaceDN w:val="0"/>
        <w:adjustRightInd w:val="0"/>
        <w:spacing w:line="520" w:lineRule="exact"/>
        <w:ind w:firstLine="640" w:firstLineChars="200"/>
        <w:rPr>
          <w:rFonts w:hint="eastAsia" w:ascii="黑体" w:hAnsi="黑体" w:eastAsia="黑体" w:cs="黑体"/>
          <w:color w:val="000000"/>
          <w:kern w:val="0"/>
          <w:sz w:val="32"/>
          <w:szCs w:val="32"/>
          <w:lang w:val="en-US" w:eastAsia="zh-Hans"/>
        </w:rPr>
      </w:pPr>
      <w:r>
        <w:rPr>
          <w:rFonts w:hint="eastAsia" w:ascii="黑体" w:hAnsi="黑体" w:eastAsia="黑体" w:cs="黑体"/>
          <w:color w:val="000000"/>
          <w:kern w:val="0"/>
          <w:sz w:val="32"/>
          <w:szCs w:val="32"/>
          <w:lang w:val="en-US" w:eastAsia="zh-Hans"/>
        </w:rPr>
        <w:t>二、大赛分组</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本次大赛聚焦创新、协调、绿色、开放、共享五大发展理念，共设五个组别：</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1.科技创新和未来产业：围绕创新驱动发展战略，推动数字经济健康发展，在智能制造、信息技术、大数据、人工智能、生命科学、新材料、军民融合等领域，结合实践观察设计项目。</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2.乡村振兴和农业农村现代化：围绕实施乡村振兴战略，在农林牧渔、电子商务、乡村旅游、城乡融合等领域，结合实践观察设计项目。</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3.社会治理和公共服务：围绕国家治理体系和治理能力现代化建设，在政务服务、消费生活、公共卫生与医疗服务、金融与财经法务、教育培训、交通物流、人力资源等领域，结合实践观察设计项目。</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4.生态环保和可持续发展：围绕可持续发展战略和碳达峰碳中和目标，在环境治理、可持续资源开发、生态环保、清洁能源应用等领域，结合实践观察设计项目。</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5.文化创意和区域合作：突出共融、共享，紧密围绕“一带一路”和京津冀、长三角、粤港澳大湾区以及成渝地区双城经济圈、长江中游城市群等区域合作，在工业设计、动漫广告、体育竞技和国际文化传播、对外交流培训、对外经贸等领域，结合实践观察设计项目。</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黑体" w:hAnsi="黑体" w:eastAsia="黑体" w:cs="黑体"/>
          <w:color w:val="000000"/>
          <w:kern w:val="0"/>
          <w:sz w:val="32"/>
          <w:szCs w:val="32"/>
          <w:lang w:val="en-US" w:eastAsia="zh-Hans"/>
        </w:rPr>
        <w:t>三、项目分类及评审要点</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参赛项目按A类项目和B类项目分别进行竞赛评选。</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A类项目突出创新精神，注重考察学生将所学知识与经济社会发展紧密结合，体现创新、创意、创造、创业的意识和能力，考察学生的创新意识、创意思维与创造能力。具体包括项目的操作性、应用性以及良好市场潜力、社会价值和发展前景等方面。</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B类项目突出实践导向，在考察项目商业价值的基础上，更加注重考察学生了解社会现状、关注社会民生、解决社会问题的意识、能力和水平。具体包括项目的社会价值、实践过程、创新意义、发展前景和团队协作等方面。</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黑体" w:hAnsi="黑体" w:eastAsia="黑体" w:cs="黑体"/>
          <w:color w:val="000000"/>
          <w:kern w:val="0"/>
          <w:sz w:val="32"/>
          <w:szCs w:val="32"/>
          <w:lang w:val="en-US" w:eastAsia="zh-Hans"/>
        </w:rPr>
        <w:t>四、参赛要求</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（一）组队要求</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1.竞赛以团队形式参赛。参赛者自行组成专业优势互补、配备科学、人员结构合理的创业计划团队。团队人数原则上不超过10人，每个项目指导教师原则上不超过</w:t>
      </w: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val="en-US" w:eastAsia="zh-Hans"/>
        </w:rPr>
        <w:t>人，不少于1人，推报省赛的团队人数及指导教师人数以上级通知为准。</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2.每个团队必须确定团队负责人1人，每人只能参加1个项目；每个参赛项目只可选择参加一个组别，不得兼报。每个团队或个人只能申报1件作品（含主要负责人和团队成员），如团队或个人多报作品，将取消该团队或该个人所在团队的全部参赛资格。</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3.鼓励跨学院、跨专业、跨年级组队。对于跨校组队参赛的项目，各成员须事先协商明确项目的申报单位为</w:t>
      </w:r>
      <w:r>
        <w:rPr>
          <w:rFonts w:hint="eastAsia" w:ascii="仿宋_GB2312" w:hAnsi="仿宋_GB2312" w:eastAsia="仿宋_GB2312" w:cs="仿宋_GB2312"/>
          <w:color w:val="000000"/>
          <w:kern w:val="0"/>
          <w:sz w:val="32"/>
          <w:szCs w:val="32"/>
          <w:lang w:val="en-US" w:eastAsia="zh-CN"/>
        </w:rPr>
        <w:t>南昌工学院</w:t>
      </w:r>
      <w:r>
        <w:rPr>
          <w:rFonts w:hint="eastAsia" w:ascii="仿宋_GB2312" w:hAnsi="仿宋_GB2312" w:eastAsia="仿宋_GB2312" w:cs="仿宋_GB2312"/>
          <w:color w:val="000000"/>
          <w:kern w:val="0"/>
          <w:sz w:val="32"/>
          <w:szCs w:val="32"/>
          <w:lang w:val="en-US" w:eastAsia="zh-Hans"/>
        </w:rPr>
        <w:t>。</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4.比赛过程中禁止随意更换组员，如有特殊情况需要进行人员调整，需提前一周向竞赛组委会提交书面申请，征得组委会同意后方可进行调整。</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5.鼓励现有学生创业团队参赛。</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（二）参赛内容</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1.申报参赛的作品必须是距2024年6月1日前两年内完成的学生创新创业成果，参赛项目应有较高立意，积极践行社会主义核心价值观。应符合国家相关法律法规规定、政策导向，应为参赛团队真实项目，不得侵犯他人知识产权，不得借用他人项目参赛。存在剽窃、盗用、提供虚假材料或违反相关法律法规的，一经发现将取消参赛相关权利并自负一切责任。</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2.参赛团队应在广泛进行市场调研、认真进行企业分析的基础上，完成一份把产品或服务推向市场的完整、具体、有实施可能的创业计划书。</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3.已获往届“挑战杯”中国大学生创业计划竞赛、“创青春”全国大学生创业大赛、“挑战杯——彩虹人生”全国职业学校创新创效创业大赛全国金奖（特等奖）、银奖（一等奖）的项目，不可重复报名。</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4.参赛项目涉及知识产权的，在报名时须提交具有法律效力的发明创造或专利技术所有人的书面授权许可、项目鉴定证书、专利证书等</w:t>
      </w:r>
      <w:r>
        <w:rPr>
          <w:rFonts w:hint="eastAsia" w:ascii="仿宋_GB2312" w:hAnsi="仿宋_GB2312" w:eastAsia="仿宋_GB2312" w:cs="仿宋_GB2312"/>
          <w:color w:val="000000"/>
          <w:kern w:val="0"/>
          <w:sz w:val="32"/>
          <w:szCs w:val="32"/>
          <w:lang w:val="en-US" w:eastAsia="zh-CN"/>
        </w:rPr>
        <w:t>。</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5.对于已工商注册的项目，在报名时可提交相关证明材料（含单位概况、法定代表人情况、加载统一社会信用代码的营业执照、股权结构等材料）。已工商注册项目的负责人须为企业法定代表人。</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6.参赛项目可提供项目实践成效或预期成效的证明材料(包括项目的社会效益、经济效益、带动就业情况等）。</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黑体" w:hAnsi="黑体" w:eastAsia="黑体" w:cs="黑体"/>
          <w:color w:val="000000"/>
          <w:kern w:val="0"/>
          <w:sz w:val="32"/>
          <w:szCs w:val="32"/>
          <w:lang w:val="en-US" w:eastAsia="zh-Hans"/>
        </w:rPr>
        <w:t>五、赛事安排</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（一）团队预报名（2024年</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val="en-US" w:eastAsia="zh-Hans"/>
        </w:rPr>
        <w:t>月</w:t>
      </w: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lang w:val="en-US" w:eastAsia="zh-Hans"/>
        </w:rPr>
        <w:t>日前）</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学生团队报名，以项目主要负责人所在学院为准进行项目申报，</w:t>
      </w:r>
      <w:r>
        <w:rPr>
          <w:rFonts w:hint="eastAsia" w:ascii="仿宋_GB2312" w:hAnsi="仿宋_GB2312" w:eastAsia="仿宋_GB2312" w:cs="仿宋_GB2312"/>
          <w:color w:val="000000"/>
          <w:kern w:val="0"/>
          <w:sz w:val="32"/>
          <w:szCs w:val="32"/>
          <w:lang w:val="en-US" w:eastAsia="zh-CN"/>
        </w:rPr>
        <w:t>并于3月5日之前加入微信群。</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（二）作品提交（2024年3月15日前）</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参赛团队完成报名表提交后，需在规定时间内完成项目作品，并提交以下电子版文件（WORD版和PDF版各一份）至各学院团总支，由学院汇总打包后于2024年3月15日前发至学校团委邮箱：</w:t>
      </w:r>
      <w:r>
        <w:rPr>
          <w:rFonts w:hint="eastAsia" w:ascii="仿宋_GB2312" w:hAnsi="仿宋_GB2312" w:eastAsia="仿宋_GB2312" w:cs="仿宋_GB2312"/>
          <w:color w:val="000000"/>
          <w:kern w:val="0"/>
          <w:sz w:val="32"/>
          <w:szCs w:val="32"/>
          <w:lang w:val="en-US" w:eastAsia="zh-CN"/>
        </w:rPr>
        <w:t>ncgxyxtw</w:t>
      </w:r>
      <w:r>
        <w:rPr>
          <w:rFonts w:hint="eastAsia" w:ascii="仿宋_GB2312" w:hAnsi="仿宋_GB2312" w:eastAsia="仿宋_GB2312" w:cs="仿宋_GB2312"/>
          <w:color w:val="000000"/>
          <w:kern w:val="0"/>
          <w:sz w:val="32"/>
          <w:szCs w:val="32"/>
          <w:lang w:val="en-US" w:eastAsia="zh-Hans"/>
        </w:rPr>
        <w:t>@163.com</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项目提交文件名请以“第十四届‘挑战杯’中国大学生创业计划竞赛-组别-A类创新/B类实践-作品名-队长姓名”命名。</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1.参赛项目作品申报表（附件2）</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2.参赛项目汇总表（附件3）</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3.项目介绍材料（20页以内PPT）</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4.创业计划书：计划书内容主要包括产品与服务介绍、市场分析及定位、商业模式、营销策略、财务分析、风险控制、团队介绍及其它说明等（仅供参考）。创业计划书格式要求参考附件5。</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5.如有其他相关证明材料，需单独扫描在同一PDF文档中。若为视频材料请以项目名称命名，MP4格式，文件大小不超过20MB。</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（三）校内选拔赛</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本次校内赛分为初赛、决赛两个阶段，初赛为书面评审，决赛为线下路演答辩评审。</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1.校级初赛（预计2024年3月</w:t>
      </w:r>
      <w:r>
        <w:rPr>
          <w:rFonts w:hint="eastAsia" w:ascii="仿宋_GB2312" w:hAnsi="仿宋_GB2312" w:eastAsia="仿宋_GB2312" w:cs="仿宋_GB2312"/>
          <w:color w:val="000000"/>
          <w:kern w:val="0"/>
          <w:sz w:val="32"/>
          <w:szCs w:val="32"/>
          <w:lang w:val="en-US" w:eastAsia="zh-CN"/>
        </w:rPr>
        <w:t>中</w:t>
      </w:r>
      <w:r>
        <w:rPr>
          <w:rFonts w:hint="eastAsia" w:ascii="仿宋_GB2312" w:hAnsi="仿宋_GB2312" w:eastAsia="仿宋_GB2312" w:cs="仿宋_GB2312"/>
          <w:color w:val="000000"/>
          <w:kern w:val="0"/>
          <w:sz w:val="32"/>
          <w:szCs w:val="32"/>
          <w:lang w:val="en-US" w:eastAsia="zh-Hans"/>
        </w:rPr>
        <w:t>下旬）。聘请相关领域专家组成评审委员会，对参赛作品进行书面评审，并推荐参加终审答辩。</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2.校级决赛（另行通知）。聘请有关专家、学者和教授组成评审委员会，入围终审作品将参加线下答辩，确定推荐参加省赛项目。</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黑体" w:hAnsi="黑体" w:eastAsia="黑体" w:cs="黑体"/>
          <w:color w:val="000000"/>
          <w:kern w:val="0"/>
          <w:sz w:val="32"/>
          <w:szCs w:val="32"/>
          <w:lang w:val="en-US" w:eastAsia="zh-Hans"/>
        </w:rPr>
        <w:t>六、奖项设置</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本次竞赛设金、银、铜奖若干，为获奖团队颁发证书并分别发放</w:t>
      </w:r>
      <w:r>
        <w:rPr>
          <w:rFonts w:hint="eastAsia" w:ascii="仿宋_GB2312" w:hAnsi="仿宋_GB2312" w:eastAsia="仿宋_GB2312" w:cs="仿宋_GB2312"/>
          <w:color w:val="000000"/>
          <w:kern w:val="0"/>
          <w:sz w:val="32"/>
          <w:szCs w:val="32"/>
          <w:lang w:val="en-US" w:eastAsia="zh-CN"/>
        </w:rPr>
        <w:t>500</w:t>
      </w:r>
      <w:r>
        <w:rPr>
          <w:rFonts w:hint="eastAsia" w:ascii="仿宋_GB2312" w:hAnsi="仿宋_GB2312" w:eastAsia="仿宋_GB2312" w:cs="仿宋_GB2312"/>
          <w:color w:val="000000"/>
          <w:kern w:val="0"/>
          <w:sz w:val="32"/>
          <w:szCs w:val="32"/>
          <w:lang w:val="en-US" w:eastAsia="zh-Hans"/>
        </w:rPr>
        <w:t>、</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val="en-US" w:eastAsia="zh-Hans"/>
        </w:rPr>
        <w:t>00、</w:t>
      </w:r>
      <w:r>
        <w:rPr>
          <w:rFonts w:hint="eastAsia" w:ascii="仿宋_GB2312" w:hAnsi="仿宋_GB2312" w:eastAsia="仿宋_GB2312" w:cs="仿宋_GB2312"/>
          <w:color w:val="000000"/>
          <w:kern w:val="0"/>
          <w:sz w:val="32"/>
          <w:szCs w:val="32"/>
          <w:lang w:val="en-US" w:eastAsia="zh-CN"/>
        </w:rPr>
        <w:t>200</w:t>
      </w:r>
      <w:r>
        <w:rPr>
          <w:rFonts w:hint="eastAsia" w:ascii="仿宋_GB2312" w:hAnsi="仿宋_GB2312" w:eastAsia="仿宋_GB2312" w:cs="仿宋_GB2312"/>
          <w:color w:val="000000"/>
          <w:kern w:val="0"/>
          <w:sz w:val="32"/>
          <w:szCs w:val="32"/>
          <w:lang w:val="en-US" w:eastAsia="zh-Hans"/>
        </w:rPr>
        <w:t>元的奖金，团队成员可申请相应创新</w:t>
      </w:r>
      <w:r>
        <w:rPr>
          <w:rFonts w:hint="eastAsia" w:ascii="仿宋_GB2312" w:hAnsi="仿宋_GB2312" w:eastAsia="仿宋_GB2312" w:cs="仿宋_GB2312"/>
          <w:color w:val="000000"/>
          <w:kern w:val="0"/>
          <w:sz w:val="32"/>
          <w:szCs w:val="32"/>
          <w:lang w:val="en-US" w:eastAsia="zh-CN"/>
        </w:rPr>
        <w:t>实践第二课堂积分</w:t>
      </w:r>
      <w:r>
        <w:rPr>
          <w:rFonts w:hint="eastAsia" w:ascii="仿宋_GB2312" w:hAnsi="仿宋_GB2312" w:eastAsia="仿宋_GB2312" w:cs="仿宋_GB2312"/>
          <w:color w:val="000000"/>
          <w:kern w:val="0"/>
          <w:sz w:val="32"/>
          <w:szCs w:val="32"/>
          <w:lang w:val="en-US" w:eastAsia="zh-Hans"/>
        </w:rPr>
        <w:t>。</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设学院优秀组织奖，由学院项目获奖情况评定，优秀组织奖综合学院组织动员情况和活动组织参与情况等评定，奖项不重合。</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设优秀指导教师奖，由获省级以上奖项项目指导老师获得。</w:t>
      </w:r>
    </w:p>
    <w:p>
      <w:pPr>
        <w:tabs>
          <w:tab w:val="left" w:pos="1890"/>
        </w:tabs>
        <w:autoSpaceDE w:val="0"/>
        <w:autoSpaceDN w:val="0"/>
        <w:adjustRightInd w:val="0"/>
        <w:spacing w:line="520" w:lineRule="exact"/>
        <w:ind w:firstLine="640" w:firstLineChars="200"/>
        <w:rPr>
          <w:rFonts w:hint="default" w:eastAsia="仿宋_GB2312"/>
          <w:lang w:val="en-US" w:eastAsia="zh-CN"/>
        </w:rPr>
      </w:pPr>
      <w:r>
        <w:rPr>
          <w:rFonts w:hint="eastAsia" w:ascii="仿宋_GB2312" w:hAnsi="仿宋_GB2312" w:eastAsia="仿宋_GB2312" w:cs="仿宋_GB2312"/>
          <w:color w:val="000000"/>
          <w:kern w:val="0"/>
          <w:sz w:val="32"/>
          <w:szCs w:val="32"/>
          <w:lang w:val="en-US" w:eastAsia="zh-CN"/>
        </w:rPr>
        <w:t>设经费本制度，获得省级一等奖以上发放1万项目建设经费，省级二等奖5000项目建设经费，省级三等奖项目2000建设经费，推荐参加省赛项目1000建设经费。</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黑体" w:hAnsi="黑体" w:eastAsia="黑体" w:cs="黑体"/>
          <w:color w:val="000000"/>
          <w:kern w:val="0"/>
          <w:sz w:val="32"/>
          <w:szCs w:val="32"/>
          <w:lang w:val="en-US" w:eastAsia="zh-Hans"/>
        </w:rPr>
        <w:t>七、工作要求</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1.上交项目材料不予返还，参赛者务必自己保留原稿。</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2.参赛各项材料及学院参赛作品汇总表务必在截止日期前由各学院统一发送至团委邮箱，逾期则不受理相关作品。</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3.参赛各项材料由学院统一发送至团委邮箱，不接受个人团队上交。</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4.参赛作品一律要求原创，一经发现抄袭，立即取消其参赛资格，同时追究责任。</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5.各学院应成立专项工作组，做好本学院师生的宣传和发动工作，收集体现创新精神、关注国计民生、代表学校水平的项目，同时成立专家指导组，负责具体指导相关项目。各学院需确定</w:t>
      </w:r>
      <w:r>
        <w:rPr>
          <w:rFonts w:hint="eastAsia" w:ascii="仿宋_GB2312" w:hAnsi="仿宋_GB2312" w:eastAsia="仿宋_GB2312" w:cs="仿宋_GB2312"/>
          <w:color w:val="000000"/>
          <w:kern w:val="0"/>
          <w:sz w:val="32"/>
          <w:szCs w:val="32"/>
          <w:lang w:val="en-US" w:eastAsia="zh-CN"/>
        </w:rPr>
        <w:t>团委</w:t>
      </w:r>
      <w:r>
        <w:rPr>
          <w:rFonts w:hint="eastAsia" w:ascii="仿宋_GB2312" w:hAnsi="仿宋_GB2312" w:eastAsia="仿宋_GB2312" w:cs="仿宋_GB2312"/>
          <w:color w:val="000000"/>
          <w:kern w:val="0"/>
          <w:sz w:val="32"/>
          <w:szCs w:val="32"/>
          <w:lang w:val="en-US" w:eastAsia="zh-Hans"/>
        </w:rPr>
        <w:t>相关同志为大赛联络员，负责与</w:t>
      </w:r>
      <w:r>
        <w:rPr>
          <w:rFonts w:hint="eastAsia" w:ascii="仿宋_GB2312" w:hAnsi="仿宋_GB2312" w:eastAsia="仿宋_GB2312" w:cs="仿宋_GB2312"/>
          <w:color w:val="000000"/>
          <w:kern w:val="0"/>
          <w:sz w:val="32"/>
          <w:szCs w:val="32"/>
          <w:lang w:val="en-US" w:eastAsia="zh-CN"/>
        </w:rPr>
        <w:t>校</w:t>
      </w:r>
      <w:r>
        <w:rPr>
          <w:rFonts w:hint="eastAsia" w:ascii="仿宋_GB2312" w:hAnsi="仿宋_GB2312" w:eastAsia="仿宋_GB2312" w:cs="仿宋_GB2312"/>
          <w:color w:val="000000"/>
          <w:kern w:val="0"/>
          <w:sz w:val="32"/>
          <w:szCs w:val="32"/>
          <w:lang w:val="en-US" w:eastAsia="zh-Hans"/>
        </w:rPr>
        <w:t>团委联系。</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6.各学院要聚焦为党育人功能，将创业计划竞赛作为带动广大学生投身社会实践、深入了解国情社情、提升社会化能力的重要载体，切实增强工作实效。做好赛事组织，广泛发动师生参与，服务更多学生成长发展。</w:t>
      </w:r>
    </w:p>
    <w:p>
      <w:pPr>
        <w:tabs>
          <w:tab w:val="left" w:pos="1890"/>
        </w:tabs>
        <w:autoSpaceDE w:val="0"/>
        <w:autoSpaceDN w:val="0"/>
        <w:adjustRightInd w:val="0"/>
        <w:spacing w:line="520"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联系人：夏育盛 13647087905</w:t>
      </w:r>
    </w:p>
    <w:p>
      <w:pPr>
        <w:tabs>
          <w:tab w:val="left" w:pos="1890"/>
        </w:tabs>
        <w:autoSpaceDE w:val="0"/>
        <w:autoSpaceDN w:val="0"/>
        <w:adjustRightInd w:val="0"/>
        <w:spacing w:line="240" w:lineRule="auto"/>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drawing>
          <wp:anchor distT="0" distB="0" distL="114300" distR="114300" simplePos="0" relativeHeight="251662336" behindDoc="1" locked="0" layoutInCell="1" allowOverlap="1">
            <wp:simplePos x="0" y="0"/>
            <wp:positionH relativeFrom="column">
              <wp:posOffset>2012950</wp:posOffset>
            </wp:positionH>
            <wp:positionV relativeFrom="paragraph">
              <wp:posOffset>158115</wp:posOffset>
            </wp:positionV>
            <wp:extent cx="2118995" cy="3039745"/>
            <wp:effectExtent l="0" t="0" r="14605" b="8255"/>
            <wp:wrapNone/>
            <wp:docPr id="2" name="图片 2" descr="微信图片_2024022710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40227103341"/>
                    <pic:cNvPicPr>
                      <a:picLocks noChangeAspect="1"/>
                    </pic:cNvPicPr>
                  </pic:nvPicPr>
                  <pic:blipFill>
                    <a:blip r:embed="rId5"/>
                    <a:stretch>
                      <a:fillRect/>
                    </a:stretch>
                  </pic:blipFill>
                  <pic:spPr>
                    <a:xfrm>
                      <a:off x="0" y="0"/>
                      <a:ext cx="2118995" cy="3039745"/>
                    </a:xfrm>
                    <a:prstGeom prst="rect">
                      <a:avLst/>
                    </a:prstGeom>
                  </pic:spPr>
                </pic:pic>
              </a:graphicData>
            </a:graphic>
          </wp:anchor>
        </w:drawing>
      </w:r>
    </w:p>
    <w:p>
      <w:pPr>
        <w:pStyle w:val="2"/>
        <w:rPr>
          <w:rFonts w:hint="eastAsia" w:ascii="仿宋_GB2312" w:hAnsi="仿宋_GB2312" w:eastAsia="仿宋_GB2312" w:cs="仿宋_GB2312"/>
          <w:color w:val="000000"/>
          <w:kern w:val="0"/>
          <w:sz w:val="32"/>
          <w:szCs w:val="32"/>
          <w:lang w:val="en-US" w:eastAsia="zh-Hans"/>
        </w:rPr>
      </w:pPr>
    </w:p>
    <w:p>
      <w:pPr>
        <w:rPr>
          <w:rFonts w:hint="eastAsia" w:ascii="仿宋_GB2312" w:hAnsi="仿宋_GB2312" w:eastAsia="仿宋_GB2312" w:cs="仿宋_GB2312"/>
          <w:color w:val="000000"/>
          <w:kern w:val="0"/>
          <w:sz w:val="32"/>
          <w:szCs w:val="32"/>
          <w:lang w:val="en-US" w:eastAsia="zh-Hans"/>
        </w:rPr>
      </w:pPr>
    </w:p>
    <w:p>
      <w:pPr>
        <w:pStyle w:val="2"/>
        <w:rPr>
          <w:rFonts w:hint="eastAsia" w:ascii="仿宋_GB2312" w:hAnsi="仿宋_GB2312" w:eastAsia="仿宋_GB2312" w:cs="仿宋_GB2312"/>
          <w:color w:val="000000"/>
          <w:kern w:val="0"/>
          <w:sz w:val="32"/>
          <w:szCs w:val="32"/>
          <w:lang w:val="en-US" w:eastAsia="zh-Hans"/>
        </w:rPr>
      </w:pPr>
    </w:p>
    <w:p>
      <w:pPr>
        <w:rPr>
          <w:rFonts w:hint="eastAsia" w:ascii="仿宋_GB2312" w:hAnsi="仿宋_GB2312" w:eastAsia="仿宋_GB2312" w:cs="仿宋_GB2312"/>
          <w:color w:val="000000"/>
          <w:kern w:val="0"/>
          <w:sz w:val="32"/>
          <w:szCs w:val="32"/>
          <w:lang w:val="en-US" w:eastAsia="zh-Hans"/>
        </w:rPr>
      </w:pPr>
    </w:p>
    <w:p>
      <w:pPr>
        <w:pStyle w:val="2"/>
        <w:rPr>
          <w:rFonts w:hint="eastAsia" w:ascii="仿宋_GB2312" w:hAnsi="仿宋_GB2312" w:eastAsia="仿宋_GB2312" w:cs="仿宋_GB2312"/>
          <w:color w:val="000000"/>
          <w:kern w:val="0"/>
          <w:sz w:val="32"/>
          <w:szCs w:val="32"/>
          <w:lang w:val="en-US" w:eastAsia="zh-Hans"/>
        </w:rPr>
      </w:pPr>
    </w:p>
    <w:p>
      <w:pPr>
        <w:rPr>
          <w:rFonts w:hint="eastAsia" w:ascii="仿宋_GB2312" w:hAnsi="仿宋_GB2312" w:eastAsia="仿宋_GB2312" w:cs="仿宋_GB2312"/>
          <w:color w:val="000000"/>
          <w:kern w:val="0"/>
          <w:sz w:val="32"/>
          <w:szCs w:val="32"/>
          <w:lang w:val="en-US" w:eastAsia="zh-Hans"/>
        </w:rPr>
      </w:pPr>
    </w:p>
    <w:p>
      <w:pPr>
        <w:pStyle w:val="2"/>
        <w:rPr>
          <w:rFonts w:hint="eastAsia"/>
          <w:lang w:val="en-US" w:eastAsia="zh-Hans"/>
        </w:rPr>
      </w:pPr>
    </w:p>
    <w:p>
      <w:pPr>
        <w:rPr>
          <w:rFonts w:hint="eastAsia"/>
          <w:lang w:val="en-US" w:eastAsia="zh-Hans"/>
        </w:rPr>
      </w:pPr>
    </w:p>
    <w:p>
      <w:pPr>
        <w:pStyle w:val="2"/>
        <w:rPr>
          <w:rFonts w:hint="eastAsia"/>
          <w:lang w:val="en-US" w:eastAsia="zh-Hans"/>
        </w:rPr>
      </w:pPr>
    </w:p>
    <w:p>
      <w:pPr>
        <w:rPr>
          <w:rFonts w:hint="eastAsia"/>
          <w:lang w:val="en-US" w:eastAsia="zh-Hans"/>
        </w:rPr>
      </w:pP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附件：</w:t>
      </w:r>
    </w:p>
    <w:p>
      <w:p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Hans"/>
        </w:rPr>
        <w:t>1</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val="en-US" w:eastAsia="zh-Hans"/>
        </w:rPr>
        <w:t>南昌工学院第十四届“挑战杯”大学生创业计划竞赛作品申报书</w:t>
      </w:r>
    </w:p>
    <w:p>
      <w:pPr>
        <w:numPr>
          <w:numId w:val="0"/>
        </w:numPr>
        <w:tabs>
          <w:tab w:val="left" w:pos="1890"/>
        </w:tabs>
        <w:autoSpaceDE w:val="0"/>
        <w:autoSpaceDN w:val="0"/>
        <w:adjustRightInd w:val="0"/>
        <w:spacing w:line="520" w:lineRule="exact"/>
        <w:ind w:firstLine="640" w:firstLineChars="200"/>
        <w:rPr>
          <w:rFonts w:hint="eastAsia" w:ascii="仿宋_GB2312" w:hAnsi="仿宋_GB2312" w:eastAsia="仿宋_GB2312" w:cs="仿宋_GB2312"/>
          <w:color w:val="000000"/>
          <w:kern w:val="0"/>
          <w:sz w:val="32"/>
          <w:szCs w:val="32"/>
          <w:lang w:val="en-US" w:eastAsia="zh-Hans"/>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val="en-US" w:eastAsia="zh-Hans"/>
        </w:rPr>
        <w:t>南昌工学院第十四届“挑战杯”大学生创业计划竞赛作品汇总表</w:t>
      </w:r>
    </w:p>
    <w:p>
      <w:pPr>
        <w:pStyle w:val="2"/>
        <w:widowControl w:val="0"/>
        <w:numPr>
          <w:numId w:val="0"/>
        </w:numPr>
        <w:spacing w:line="400" w:lineRule="exact"/>
        <w:jc w:val="both"/>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A2CC6D-CE28-4FD8-B076-77D30D2B40D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B2AD399-4596-4651-9482-AAA4EE219B34}"/>
  </w:font>
  <w:font w:name="方正小标宋简体">
    <w:panose1 w:val="02000000000000000000"/>
    <w:charset w:val="86"/>
    <w:family w:val="script"/>
    <w:pitch w:val="default"/>
    <w:sig w:usb0="00000001" w:usb1="080E0000" w:usb2="00000000" w:usb3="00000000" w:csb0="00040000" w:csb1="00000000"/>
    <w:embedRegular r:id="rId3" w:fontKey="{D156A34F-B6A4-4C41-9F00-1C9C761F89B1}"/>
  </w:font>
  <w:font w:name="仿宋_GB2312">
    <w:panose1 w:val="02010609030101010101"/>
    <w:charset w:val="86"/>
    <w:family w:val="modern"/>
    <w:pitch w:val="default"/>
    <w:sig w:usb0="00000001" w:usb1="080E0000" w:usb2="00000000" w:usb3="00000000" w:csb0="00040000" w:csb1="00000000"/>
    <w:embedRegular r:id="rId4" w:fontKey="{7F334355-00A3-4A19-A991-0D51A15391E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yZTIxMzcyNTdkMzU5MzZjN2FjNzk2MDAxYzZiOWIifQ=="/>
  </w:docVars>
  <w:rsids>
    <w:rsidRoot w:val="3EF86F5C"/>
    <w:rsid w:val="3EF8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2"/>
    <w:basedOn w:val="1"/>
    <w:next w:val="1"/>
    <w:qFormat/>
    <w:uiPriority w:val="0"/>
    <w:pPr>
      <w:spacing w:line="400" w:lineRule="exact"/>
    </w:pPr>
    <w:rPr>
      <w:rFonts w:ascii="Times New Roman" w:hAnsi="Times New Roman" w:eastAsia="宋体" w:cs="Times New Roman"/>
    </w:rPr>
  </w:style>
  <w:style w:type="paragraph" w:styleId="3">
    <w:name w:val="Body Text 2"/>
    <w:basedOn w:val="1"/>
    <w:qFormat/>
    <w:uiPriority w:val="0"/>
    <w:pPr>
      <w:spacing w:after="120" w:line="480" w:lineRule="auto"/>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2024-02-27T02:16:00Z</dcterms:created>
  <dc:creator>乐活1380687820</dc:creator>
  <cp:lastModifiedBy>乐活1380687820</cp:lastModifiedBy>
  <dcterms:modified xsi:type="dcterms:W3CDTF">2024-02-27T02:37:13Z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00375C1F8EF5491E98E3EB922F166712_11</vt:lpwstr>
  </property>
</Properties>
</file>