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rFonts w:hint="eastAsia"/>
          <w:b/>
          <w:bCs/>
          <w:sz w:val="52"/>
          <w:szCs w:val="52"/>
        </w:rPr>
        <w:t>安保服务外包合作协议</w:t>
      </w:r>
    </w:p>
    <w:p>
      <w:pPr>
        <w:spacing w:line="420" w:lineRule="exact"/>
        <w:rPr>
          <w:rFonts w:ascii="仿宋" w:hAnsi="仿宋" w:eastAsia="仿宋" w:cs="仿宋"/>
          <w:sz w:val="30"/>
          <w:szCs w:val="30"/>
        </w:rPr>
      </w:pPr>
    </w:p>
    <w:p>
      <w:pPr>
        <w:spacing w:line="420" w:lineRule="exact"/>
        <w:ind w:firstLine="300" w:firstLineChars="100"/>
        <w:rPr>
          <w:rFonts w:ascii="黑体" w:hAnsi="黑体" w:eastAsia="黑体" w:cs="仿宋"/>
          <w:bCs/>
          <w:sz w:val="30"/>
          <w:szCs w:val="30"/>
        </w:rPr>
      </w:pPr>
      <w:r>
        <w:rPr>
          <w:rFonts w:hint="eastAsia" w:ascii="黑体" w:hAnsi="黑体" w:eastAsia="黑体" w:cs="仿宋"/>
          <w:bCs/>
          <w:sz w:val="30"/>
          <w:szCs w:val="30"/>
        </w:rPr>
        <w:t>一、协议内容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1、甲方将</w:t>
      </w:r>
      <w:r>
        <w:rPr>
          <w:rFonts w:hint="eastAsia" w:ascii="仿宋" w:hAnsi="仿宋" w:eastAsia="仿宋" w:cs="仿宋"/>
          <w:sz w:val="30"/>
          <w:szCs w:val="30"/>
          <w:u w:val="single"/>
        </w:rPr>
        <w:t>学校局部安保服务</w:t>
      </w:r>
      <w:r>
        <w:rPr>
          <w:rFonts w:hint="eastAsia" w:ascii="仿宋" w:hAnsi="仿宋" w:eastAsia="仿宋" w:cs="仿宋"/>
          <w:sz w:val="30"/>
          <w:szCs w:val="30"/>
        </w:rPr>
        <w:t>外包给乙方。乙方按甲方的服务需求、服务标准及本协议约定完成相关工作。</w:t>
      </w:r>
    </w:p>
    <w:p>
      <w:pPr>
        <w:spacing w:line="42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2、乙方提供安保服务的地址为：</w:t>
      </w:r>
      <w:r>
        <w:rPr>
          <w:rFonts w:hint="eastAsia" w:ascii="仿宋" w:hAnsi="仿宋" w:eastAsia="仿宋" w:cs="仿宋"/>
          <w:sz w:val="30"/>
          <w:szCs w:val="30"/>
          <w:u w:val="single"/>
        </w:rPr>
        <w:t>方提供安保服务的地址应为南昌市红谷滩新区狮子山大道998号南昌工学院校园。</w:t>
      </w:r>
    </w:p>
    <w:p>
      <w:pPr>
        <w:spacing w:line="420" w:lineRule="exact"/>
        <w:ind w:firstLine="600" w:firstLineChars="200"/>
        <w:rPr>
          <w:rFonts w:hint="eastAsia" w:ascii="仿宋" w:hAnsi="仿宋" w:eastAsia="仿宋" w:cs="仿宋"/>
          <w:sz w:val="30"/>
          <w:szCs w:val="30"/>
          <w:u w:val="single"/>
        </w:rPr>
      </w:pP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二、协议期限</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本协议自</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8</w:t>
      </w:r>
      <w:r>
        <w:rPr>
          <w:rFonts w:hint="eastAsia" w:ascii="仿宋" w:hAnsi="仿宋" w:eastAsia="仿宋" w:cs="仿宋"/>
          <w:sz w:val="30"/>
          <w:szCs w:val="30"/>
        </w:rPr>
        <w:t>月</w:t>
      </w:r>
      <w:r>
        <w:rPr>
          <w:rFonts w:hint="eastAsia" w:ascii="仿宋" w:hAnsi="仿宋" w:eastAsia="仿宋" w:cs="仿宋"/>
          <w:sz w:val="30"/>
          <w:szCs w:val="30"/>
          <w:u w:val="single"/>
        </w:rPr>
        <w:t>1</w:t>
      </w:r>
      <w:r>
        <w:rPr>
          <w:rFonts w:hint="eastAsia" w:ascii="仿宋" w:hAnsi="仿宋" w:eastAsia="仿宋" w:cs="仿宋"/>
          <w:sz w:val="30"/>
          <w:szCs w:val="30"/>
        </w:rPr>
        <w:t>日起至</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5</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7</w:t>
      </w:r>
      <w:r>
        <w:rPr>
          <w:rFonts w:hint="eastAsia" w:ascii="仿宋" w:hAnsi="仿宋" w:eastAsia="仿宋" w:cs="仿宋"/>
          <w:sz w:val="30"/>
          <w:szCs w:val="30"/>
        </w:rPr>
        <w:t>月</w:t>
      </w:r>
      <w:r>
        <w:rPr>
          <w:rFonts w:hint="eastAsia" w:ascii="仿宋" w:hAnsi="仿宋" w:eastAsia="仿宋" w:cs="仿宋"/>
          <w:sz w:val="30"/>
          <w:szCs w:val="30"/>
          <w:u w:val="single"/>
        </w:rPr>
        <w:t>31</w:t>
      </w:r>
      <w:r>
        <w:rPr>
          <w:rFonts w:hint="eastAsia" w:ascii="仿宋" w:hAnsi="仿宋" w:eastAsia="仿宋" w:cs="仿宋"/>
          <w:sz w:val="30"/>
          <w:szCs w:val="30"/>
        </w:rPr>
        <w:t>日止。协议期满前一个月，双方根据实际情况决定后续合作事宜。如双方不再签订合作协议，则乙方按时撤离南昌工学院，甲方按约定支付安保服务费。</w:t>
      </w:r>
    </w:p>
    <w:p>
      <w:pPr>
        <w:spacing w:line="420" w:lineRule="exact"/>
        <w:ind w:firstLine="600" w:firstLineChars="200"/>
        <w:rPr>
          <w:rFonts w:hint="eastAsia" w:ascii="仿宋" w:hAnsi="仿宋" w:eastAsia="仿宋" w:cs="仿宋"/>
          <w:sz w:val="30"/>
          <w:szCs w:val="30"/>
        </w:rPr>
      </w:pP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三、安保服务范围</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乙方承担甲方指定范围内（见附件）的门卫管理、昼夜安保巡逻值勤、交通管理、秩序维护，配合处置范围内的各类突发事件，并做好防火、防盗、防破坏、防事故等安全保卫工作。</w:t>
      </w:r>
    </w:p>
    <w:p>
      <w:pPr>
        <w:spacing w:line="420" w:lineRule="exact"/>
        <w:ind w:firstLine="600" w:firstLineChars="200"/>
        <w:rPr>
          <w:rFonts w:hint="eastAsia" w:ascii="仿宋" w:hAnsi="仿宋" w:eastAsia="仿宋" w:cs="仿宋"/>
          <w:sz w:val="30"/>
          <w:szCs w:val="30"/>
        </w:rPr>
      </w:pP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四、费用的结算及支付</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1、甲方按照约定的标准和方式结算安保服务费：安保服务费用总价为人民币（大写）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元（小写：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元）,平均每月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本费用包含乙方员工工资、福利待遇、人事、劳资、社保、餐饮、服装、办公及税费等双方所明确的所有费用（具体结算参见合作双方月度所传递的费用结算清单及明细）。</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2、乙方管理人员应及时与甲方确认费用结算清单及明细。</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3、安保服务费用每月支付一次，在本协议运行期间，乙方应从第二个月起每月上旬向甲方提供上个月的服务费正式发票，甲方收到票据后于20日之前向乙方支付相应费用。</w:t>
      </w:r>
    </w:p>
    <w:p>
      <w:pPr>
        <w:spacing w:line="420" w:lineRule="exact"/>
        <w:ind w:firstLine="600" w:firstLineChars="200"/>
        <w:rPr>
          <w:rFonts w:hint="eastAsia" w:ascii="仿宋" w:hAnsi="仿宋" w:eastAsia="仿宋" w:cs="仿宋"/>
          <w:sz w:val="30"/>
          <w:szCs w:val="30"/>
        </w:rPr>
      </w:pP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五、人员管理、协调</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1、乙方派出不少于</w:t>
      </w:r>
      <w:r>
        <w:rPr>
          <w:rFonts w:hint="eastAsia" w:ascii="仿宋" w:hAnsi="仿宋" w:eastAsia="仿宋" w:cs="仿宋"/>
          <w:sz w:val="30"/>
          <w:szCs w:val="30"/>
          <w:lang w:val="en-US" w:eastAsia="zh-CN"/>
        </w:rPr>
        <w:t>31</w:t>
      </w:r>
      <w:r>
        <w:rPr>
          <w:rFonts w:hint="eastAsia" w:ascii="仿宋" w:hAnsi="仿宋" w:eastAsia="仿宋" w:cs="仿宋"/>
          <w:sz w:val="30"/>
          <w:szCs w:val="30"/>
        </w:rPr>
        <w:t>人到甲方指定地址提供服务，包括驻校保安主管1人，保安员</w:t>
      </w:r>
      <w:r>
        <w:rPr>
          <w:rFonts w:hint="eastAsia" w:ascii="仿宋" w:hAnsi="仿宋" w:eastAsia="仿宋" w:cs="仿宋"/>
          <w:sz w:val="30"/>
          <w:szCs w:val="30"/>
          <w:lang w:val="en-US" w:eastAsia="zh-CN"/>
        </w:rPr>
        <w:t>25</w:t>
      </w:r>
      <w:r>
        <w:rPr>
          <w:rFonts w:hint="eastAsia" w:ascii="仿宋" w:hAnsi="仿宋" w:eastAsia="仿宋" w:cs="仿宋"/>
          <w:sz w:val="30"/>
          <w:szCs w:val="30"/>
        </w:rPr>
        <w:t>人（含2人机动替补），</w:t>
      </w:r>
      <w:r>
        <w:rPr>
          <w:rFonts w:hint="eastAsia" w:ascii="仿宋" w:hAnsi="仿宋" w:eastAsia="仿宋" w:cs="仿宋"/>
          <w:sz w:val="30"/>
          <w:szCs w:val="30"/>
          <w:lang w:val="en-US" w:eastAsia="zh-CN"/>
        </w:rPr>
        <w:t>消防控制室5人，</w:t>
      </w:r>
      <w:r>
        <w:rPr>
          <w:rFonts w:hint="eastAsia" w:ascii="仿宋" w:hAnsi="仿宋" w:eastAsia="仿宋" w:cs="仿宋"/>
          <w:sz w:val="30"/>
          <w:szCs w:val="30"/>
        </w:rPr>
        <w:t>临时请假24小时以上的人数不超过2人，以上所有派驻人员接受甲、乙两方的双重管理。</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2、协议运行期间，乙方驻校主管与甲方校卫队中队长同级，接受甲方保卫处副处长以上领导的业务指导。</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3、甲方校卫队队员与乙方保安员同属南昌工学院保安人员，相互之间是同事关系。但因工作任务和岗位区别，薪酬待遇分别按各自标准发放，不存在同工同酬问题。</w:t>
      </w:r>
    </w:p>
    <w:p>
      <w:pPr>
        <w:spacing w:line="4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4、甲方安排保卫部门相关人员作为项目协调专员，协助乙方进行人员管理及岗位培训。</w:t>
      </w:r>
    </w:p>
    <w:p>
      <w:pPr>
        <w:spacing w:line="420" w:lineRule="exact"/>
        <w:ind w:firstLine="600" w:firstLineChars="200"/>
        <w:rPr>
          <w:rFonts w:hint="eastAsia" w:ascii="仿宋" w:hAnsi="仿宋" w:eastAsia="仿宋" w:cs="仿宋"/>
          <w:sz w:val="30"/>
          <w:szCs w:val="30"/>
        </w:rPr>
      </w:pPr>
      <w:bookmarkStart w:id="0" w:name="_GoBack"/>
      <w:bookmarkEnd w:id="0"/>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六、甲方权利义务</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甲方需要为局部保安外包工作提供必要的条件，并行使相应管理权利。</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1、甲方应为乙方提供符合政府劳动保护条例规定的工作场所和各项安全生产条件。对于首次上岗的乙方员工，甲方明确相关要求后，应指导协助乙方对其进行安全和操作规程方面的培训。</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2、按合同约定的时间和方式，凭乙方开具合法有效的正式劳务发票向乙方支付相应服务费。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3、为乙方执勤人员提供基本的工作条件和组织训练学习的场所。</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4、为乙方执勤人员提供基本的住宿条件(不含被褥、床单等个人用品)，单独安装水、电表并按甲方统一标准收取水电费。乙方需另外使用公寓住房时，按相应管理规定申请并交纳房租。</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甲方管理人员每日不定时查岗，检查、督导保安人员认真执勤。凡发现执勤不认真或不符合执勤要求的，甲方有权进行批评教育和现场纠正；对违反执勤规定、服务态度差的，可依据规定对乙方处罚金；对严重违反甲方规章制度，或因年龄、政审、健康等条件不符合要求的，可要求乙方进行清退调换。</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6、甲方管理人员定期或不定期参加乙方会议和点名，了解保安执勤等工作情况，根据甲方工作安排提出合理部署及要求。每月对乙方服务质量进行考核会签，并定期召开联席会议进行交流沟通，每季度对保安服务综合满意率进行考评。</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7、如因乙方执勤人员工作严重失职或处理不当导致甲方发生治安、刑事案件或事故，给甲方造成重大损失的，甲方可根据损失程度，经双方协商确认，从当月服务费中划定部分或全部作为履约服务质量赔偿金。</w:t>
      </w: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七、乙方的权利义务</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乙方负责承担执勤人员的工伤保险、社会劳动保险、雇主责任险、生活福利等一切费用。执勤人员因公或意外伤亡，由乙方负责办理保险索赔及劳动诉讼、仲裁并承担执勤人员于服务甲方期间所致乙方人员自身、甲方、他人的人身、财产损害等全部赔偿责任。甲方不承担任何经济赔偿责任和连带责任。</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乙方必须依据合同，保证执勤人员数量、质量，严格履行保安工作职能，实行24小时保安服务。乙方要建立健全组织机构，派出具有一定保安管理工作经验的管理人员驻校负责保安队的日常教育管理、落实合同约定的服务项目、内容及职责。</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乙方选派的执勤人员必须经过正规的保安业务培训，持证上岗，身体健康、无残疾，无精神疾病，无违法犯罪前科，年龄在18～45岁之间（详见各岗位保安人员要求），并向甲方提供执勤人员的花名册、登记审批表(个人信息资料)，提交乙方与执勤人员签订的劳务合同副本、执勤人员保安资格证和身份证复印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4、每日执勤人数不得少于合同约定人数。执勤人员请假、轮休24小时以上时，必须向班长、队长请假并报甲方管理人员备案，公司及时安排替补人员上岗，不得发生缺岗现象。</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5、乙方应每周总结讲评上周工作并安排部署下周工作。每周出操训练两次以上，定期组织执勤人员学习，内容包括有关法律规定、业务培训教材以及甲方的相关规章制度，明确工作任务和目标，自觉服从校方管理，不断提高执勤能力和保安队伍的整体素质。</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6、为保证保安队伍稳定，乙方更换执勤人员时，须提前三个工作日报告甲方主管部门或专职管理人员，并提供新上岗执勤人员登记审批表、乙方与执勤人员签订的劳务合同副本，经甲方同意后方可更换。</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7、乙方执勤人员应严格履行规定的岗位职责要求，并遵守甲方的各项规章制度和纪律。在合同约定范围内，乙方接受甲方临时性岗位调整，遇有重大接待活动、校园环境治理及消防安全演练等工作时，乙方应按甲方要求临时调派不当班人员参加工作，以1人临时加班1小时计为1个加班小时计算，每月累计在20个加班小时内不再另行核算报酬，超过20个加班小时的，当月所有加班小时按每小时15元增发报酬。</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8、乙方对发生在执勤区域内的刑事案件、治安案件和灾害事故，应按程序及时处理并报告甲方和当地公安机关，采取措施保护案发现场，协助公安机关侦办各类治安、刑事案件，依法妥善处理责任范围内的其他突发事件。</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9、保安人员履行甲方义务消防员职责。乙方有义务参加甲方要求的各类紧急救援工作，配合落实防火、防盗、防破坏等安全防范措施，发现责任区域安全隐患，应及时报告甲方并协助处理。</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10、乙方自行配备对讲机、棉大衣、武装带、橡胶警棍、手电筒、雨衣等必要的保安执勤装备，并对装备进行及时更新和维护，保证其状况良好(该配备的物品需符合甲方整体要求并按甲方实际情况所需予以适当调整，由此产生的所有费用包含在服务费中)。</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11、甲方现有的安防设施（含附属的固定资产如岗亭空调等）、执勤装备、巡逻车辆可以根据实际情况提供给乙方使用，使用期间由乙方承担维护保养工作。</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12、乙方对甲方提供的执勤场所和生活、学习场所及时维护，保持各个场所的干净、卫生和整洁。</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13、乙方有权要求甲方按约定支付安保服务费。</w:t>
      </w:r>
    </w:p>
    <w:p>
      <w:pPr>
        <w:spacing w:line="420" w:lineRule="exact"/>
        <w:ind w:firstLine="600" w:firstLineChars="200"/>
        <w:rPr>
          <w:rFonts w:ascii="黑体" w:hAnsi="黑体" w:eastAsia="黑体" w:cs="仿宋"/>
          <w:bCs/>
          <w:sz w:val="30"/>
          <w:szCs w:val="30"/>
        </w:rPr>
      </w:pPr>
      <w:r>
        <w:rPr>
          <w:rFonts w:hint="eastAsia" w:ascii="黑体" w:hAnsi="黑体" w:eastAsia="黑体" w:cs="仿宋"/>
          <w:bCs/>
          <w:sz w:val="30"/>
          <w:szCs w:val="30"/>
        </w:rPr>
        <w:t>八、其他事项</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甲方与乙方之间的业务工作，平时由保卫处负责对接，需临时调整工作时，由保卫处向乙方驻校主管明确后进行安排；应急情况下，保卫处有直接指挥在岗保安应对突发事件的权力。善后工作依据合同条款执行。</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2、甲、乙任何一方应尊重对方员工、师生的民族习惯和宗教信仰，不因上述因素不同歧视对方人员，不在校园内从事任何宗教活动。</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3、甲方有重大接待活动时，保安执勤范围和执勤标准可根据需要作适当调整，如临时调整坐岗为立岗、调整一般岗为形象岗，临时抽调不当班人员协助维护秩序等。</w:t>
      </w:r>
    </w:p>
    <w:p>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4、各大门车辆收费岗由乙方承接期间，按甲方规定进行收费，并以微信支付等非现金支付方式为主。特殊情况下收取现金时，应逐车次登记，并在交接班时组织现金与登记情况的移交，甲方保卫处指定人员参与移交并签名确认。</w:t>
      </w:r>
    </w:p>
    <w:p>
      <w:pPr>
        <w:spacing w:line="420" w:lineRule="exact"/>
        <w:ind w:firstLine="600" w:firstLineChars="200"/>
        <w:rPr>
          <w:rFonts w:hint="eastAsia" w:ascii="仿宋" w:hAnsi="仿宋" w:eastAsia="仿宋" w:cs="仿宋"/>
          <w:sz w:val="30"/>
          <w:szCs w:val="30"/>
        </w:rPr>
        <w:sectPr>
          <w:footerReference r:id="rId3" w:type="default"/>
          <w:pgSz w:w="11906" w:h="16838"/>
          <w:pgMar w:top="1440" w:right="1236" w:bottom="1440" w:left="1236" w:header="851" w:footer="992" w:gutter="0"/>
          <w:cols w:space="720" w:num="1"/>
          <w:docGrid w:type="linesAndChars" w:linePitch="312" w:charSpace="0"/>
        </w:sectPr>
      </w:pPr>
      <w:r>
        <w:rPr>
          <w:rFonts w:hint="eastAsia" w:ascii="仿宋" w:hAnsi="仿宋" w:eastAsia="仿宋" w:cs="仿宋"/>
          <w:sz w:val="30"/>
          <w:szCs w:val="30"/>
        </w:rPr>
        <w:t>5、临时外来车辆凭公务卡免费出门。甲方因接待任务紧急需门岗及时对车辆直接放行时，应先电话联系放行，尔后及时到门岗签名确认</w:t>
      </w:r>
    </w:p>
    <w:p>
      <w:pPr>
        <w:spacing w:line="560" w:lineRule="exact"/>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tbl>
      <w:tblPr>
        <w:tblStyle w:val="5"/>
        <w:tblW w:w="14300" w:type="dxa"/>
        <w:tblInd w:w="0" w:type="dxa"/>
        <w:tblLayout w:type="fixed"/>
        <w:tblCellMar>
          <w:top w:w="15" w:type="dxa"/>
          <w:left w:w="15" w:type="dxa"/>
          <w:bottom w:w="15" w:type="dxa"/>
          <w:right w:w="15" w:type="dxa"/>
        </w:tblCellMar>
      </w:tblPr>
      <w:tblGrid>
        <w:gridCol w:w="1588"/>
        <w:gridCol w:w="1588"/>
        <w:gridCol w:w="1588"/>
        <w:gridCol w:w="1588"/>
        <w:gridCol w:w="1588"/>
        <w:gridCol w:w="1588"/>
        <w:gridCol w:w="1588"/>
        <w:gridCol w:w="1588"/>
        <w:gridCol w:w="1596"/>
      </w:tblGrid>
      <w:tr>
        <w:tblPrEx>
          <w:tblCellMar>
            <w:top w:w="15" w:type="dxa"/>
            <w:left w:w="15" w:type="dxa"/>
            <w:bottom w:w="15" w:type="dxa"/>
            <w:right w:w="15" w:type="dxa"/>
          </w:tblCellMar>
        </w:tblPrEx>
        <w:trPr>
          <w:trHeight w:val="1021" w:hRule="atLeast"/>
        </w:trPr>
        <w:tc>
          <w:tcPr>
            <w:tcW w:w="14300" w:type="dxa"/>
            <w:gridSpan w:val="9"/>
            <w:vAlign w:val="center"/>
          </w:tcPr>
          <w:p>
            <w:pPr>
              <w:widowControl/>
              <w:jc w:val="left"/>
              <w:textAlignment w:val="center"/>
              <w:rPr>
                <w:rFonts w:ascii="宋体" w:hAnsi="宋体" w:cs="宋体"/>
                <w:b/>
                <w:color w:val="000000"/>
                <w:sz w:val="36"/>
                <w:szCs w:val="36"/>
              </w:rPr>
            </w:pPr>
            <w:r>
              <w:rPr>
                <w:rFonts w:hint="eastAsia" w:ascii="宋体" w:hAnsi="宋体" w:cs="宋体"/>
                <w:b/>
                <w:color w:val="000000"/>
                <w:kern w:val="0"/>
                <w:sz w:val="36"/>
                <w:szCs w:val="36"/>
              </w:rPr>
              <w:t>附件1：                  南昌工学院部分保安岗外包服务要求</w:t>
            </w:r>
          </w:p>
        </w:tc>
      </w:tr>
      <w:tr>
        <w:tblPrEx>
          <w:tblCellMar>
            <w:top w:w="15" w:type="dxa"/>
            <w:left w:w="15" w:type="dxa"/>
            <w:bottom w:w="15" w:type="dxa"/>
            <w:right w:w="15" w:type="dxa"/>
          </w:tblCellMar>
        </w:tblPrEx>
        <w:trPr>
          <w:trHeight w:val="614" w:hRule="atLeast"/>
        </w:trPr>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岗位</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岗数</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上班制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2"/>
                <w:szCs w:val="22"/>
              </w:rPr>
              <w:t>岗位要求</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年龄要求</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身高要求</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文化</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形象</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15" w:type="dxa"/>
            <w:left w:w="15" w:type="dxa"/>
            <w:bottom w:w="15" w:type="dxa"/>
            <w:right w:w="15" w:type="dxa"/>
          </w:tblCellMar>
        </w:tblPrEx>
        <w:trPr>
          <w:trHeight w:val="1192" w:hRule="atLeast"/>
        </w:trPr>
        <w:tc>
          <w:tcPr>
            <w:tcW w:w="1588"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大门岗</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sz w:val="22"/>
                <w:szCs w:val="22"/>
                <w:lang w:eastAsia="zh-CN"/>
              </w:rPr>
            </w:pPr>
            <w:r>
              <w:rPr>
                <w:rFonts w:hint="eastAsia" w:ascii="仿宋" w:hAnsi="仿宋" w:eastAsia="仿宋" w:cs="宋体"/>
                <w:kern w:val="0"/>
                <w:sz w:val="22"/>
                <w:szCs w:val="22"/>
                <w:lang w:val="en-US" w:eastAsia="zh-CN"/>
              </w:rPr>
              <w:t>8</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24小时制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时段立岗</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4</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周岁以下（退伍军人年龄适度至</w:t>
            </w:r>
            <w:r>
              <w:rPr>
                <w:rFonts w:hint="eastAsia" w:ascii="仿宋" w:hAnsi="仿宋" w:eastAsia="仿宋" w:cs="宋体"/>
                <w:kern w:val="0"/>
                <w:sz w:val="22"/>
                <w:szCs w:val="22"/>
                <w:lang w:val="en-US" w:eastAsia="zh-CN"/>
              </w:rPr>
              <w:t>50</w:t>
            </w:r>
            <w:r>
              <w:rPr>
                <w:rFonts w:hint="eastAsia" w:ascii="仿宋" w:hAnsi="仿宋" w:eastAsia="仿宋" w:cs="宋体"/>
                <w:kern w:val="0"/>
                <w:sz w:val="22"/>
                <w:szCs w:val="22"/>
              </w:rPr>
              <w:t>周岁）</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宋体"/>
                <w:kern w:val="0"/>
                <w:sz w:val="21"/>
                <w:szCs w:val="21"/>
              </w:rPr>
              <w:t>身高167以上（晚班适度放宽至165CM及以上）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初中及以上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五官端正、形象良好</w:t>
            </w:r>
          </w:p>
        </w:tc>
        <w:tc>
          <w:tcPr>
            <w:tcW w:w="159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15" w:type="dxa"/>
            <w:left w:w="15" w:type="dxa"/>
            <w:bottom w:w="15" w:type="dxa"/>
            <w:right w:w="15" w:type="dxa"/>
          </w:tblCellMar>
        </w:tblPrEx>
        <w:trPr>
          <w:trHeight w:val="1068" w:hRule="atLeast"/>
        </w:trPr>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博物馆</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1</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24小时制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时段立岗</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4</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周岁以下（退伍军人年龄适度至</w:t>
            </w:r>
            <w:r>
              <w:rPr>
                <w:rFonts w:hint="eastAsia" w:ascii="仿宋" w:hAnsi="仿宋" w:eastAsia="仿宋" w:cs="宋体"/>
                <w:kern w:val="0"/>
                <w:sz w:val="22"/>
                <w:szCs w:val="22"/>
                <w:lang w:val="en-US" w:eastAsia="zh-CN"/>
              </w:rPr>
              <w:t>50</w:t>
            </w:r>
            <w:r>
              <w:rPr>
                <w:rFonts w:hint="eastAsia" w:ascii="仿宋" w:hAnsi="仿宋" w:eastAsia="仿宋" w:cs="宋体"/>
                <w:kern w:val="0"/>
                <w:sz w:val="22"/>
                <w:szCs w:val="22"/>
              </w:rPr>
              <w:t>周岁）</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宋体"/>
                <w:kern w:val="0"/>
                <w:sz w:val="21"/>
                <w:szCs w:val="21"/>
              </w:rPr>
              <w:t>身高167以上（晚班适度放宽至165CM及以上）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高中及以上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五官端正、形象良好</w:t>
            </w:r>
          </w:p>
        </w:tc>
        <w:tc>
          <w:tcPr>
            <w:tcW w:w="159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15" w:type="dxa"/>
            <w:left w:w="15" w:type="dxa"/>
            <w:bottom w:w="15" w:type="dxa"/>
            <w:right w:w="15" w:type="dxa"/>
          </w:tblCellMar>
        </w:tblPrEx>
        <w:trPr>
          <w:trHeight w:val="1140" w:hRule="atLeast"/>
        </w:trPr>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小苑</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1</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24小时制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sz w:val="22"/>
                <w:szCs w:val="22"/>
                <w:lang w:val="en-US" w:eastAsia="zh-CN"/>
              </w:rPr>
            </w:pPr>
            <w:r>
              <w:rPr>
                <w:rFonts w:hint="eastAsia" w:ascii="仿宋" w:hAnsi="仿宋" w:eastAsia="仿宋" w:cs="宋体"/>
                <w:sz w:val="22"/>
                <w:szCs w:val="22"/>
                <w:lang w:val="en-US" w:eastAsia="zh-CN"/>
              </w:rPr>
              <w:t>固定与机动结合</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4</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周岁以下（退伍军人年龄适度至</w:t>
            </w:r>
            <w:r>
              <w:rPr>
                <w:rFonts w:hint="eastAsia" w:ascii="仿宋" w:hAnsi="仿宋" w:eastAsia="仿宋" w:cs="宋体"/>
                <w:kern w:val="0"/>
                <w:sz w:val="22"/>
                <w:szCs w:val="22"/>
                <w:lang w:val="en-US" w:eastAsia="zh-CN"/>
              </w:rPr>
              <w:t>50</w:t>
            </w:r>
            <w:r>
              <w:rPr>
                <w:rFonts w:hint="eastAsia" w:ascii="仿宋" w:hAnsi="仿宋" w:eastAsia="仿宋" w:cs="宋体"/>
                <w:kern w:val="0"/>
                <w:sz w:val="22"/>
                <w:szCs w:val="22"/>
              </w:rPr>
              <w:t>周岁）</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1"/>
                <w:szCs w:val="21"/>
              </w:rPr>
            </w:pPr>
            <w:r>
              <w:rPr>
                <w:rFonts w:hint="eastAsia" w:ascii="仿宋" w:hAnsi="仿宋" w:eastAsia="仿宋" w:cs="宋体"/>
                <w:kern w:val="0"/>
                <w:sz w:val="21"/>
                <w:szCs w:val="21"/>
              </w:rPr>
              <w:t>身高167以上（晚班适度放宽至165CM及以上）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初中及以上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2"/>
                <w:szCs w:val="22"/>
              </w:rPr>
            </w:pPr>
            <w:r>
              <w:rPr>
                <w:rFonts w:hint="eastAsia" w:ascii="仿宋" w:hAnsi="仿宋" w:eastAsia="仿宋" w:cs="宋体"/>
                <w:kern w:val="0"/>
                <w:sz w:val="22"/>
                <w:szCs w:val="22"/>
              </w:rPr>
              <w:t>五官端正、形象良好</w:t>
            </w:r>
          </w:p>
        </w:tc>
        <w:tc>
          <w:tcPr>
            <w:tcW w:w="159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15" w:type="dxa"/>
            <w:left w:w="15" w:type="dxa"/>
            <w:bottom w:w="15" w:type="dxa"/>
            <w:right w:w="15" w:type="dxa"/>
          </w:tblCellMar>
        </w:tblPrEx>
        <w:trPr>
          <w:trHeight w:val="931" w:hRule="atLeast"/>
        </w:trPr>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新图书馆</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24小时制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sz w:val="22"/>
                <w:szCs w:val="22"/>
                <w:lang w:val="en-US" w:eastAsia="zh-CN"/>
              </w:rPr>
              <w:t>固定与机动结合</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4</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周岁以下（退伍军人年龄适度至</w:t>
            </w:r>
            <w:r>
              <w:rPr>
                <w:rFonts w:hint="eastAsia" w:ascii="仿宋" w:hAnsi="仿宋" w:eastAsia="仿宋" w:cs="宋体"/>
                <w:kern w:val="0"/>
                <w:sz w:val="22"/>
                <w:szCs w:val="22"/>
                <w:lang w:val="en-US" w:eastAsia="zh-CN"/>
              </w:rPr>
              <w:t>50</w:t>
            </w:r>
            <w:r>
              <w:rPr>
                <w:rFonts w:hint="eastAsia" w:ascii="仿宋" w:hAnsi="仿宋" w:eastAsia="仿宋" w:cs="宋体"/>
                <w:kern w:val="0"/>
                <w:sz w:val="22"/>
                <w:szCs w:val="22"/>
              </w:rPr>
              <w:t>周岁）</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1"/>
                <w:szCs w:val="21"/>
              </w:rPr>
              <w:t>身高167以上（晚班适度放宽至165CM及以上）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高中及以上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五官端正、形象良好</w:t>
            </w:r>
          </w:p>
        </w:tc>
        <w:tc>
          <w:tcPr>
            <w:tcW w:w="159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15" w:type="dxa"/>
            <w:left w:w="15" w:type="dxa"/>
            <w:bottom w:w="15" w:type="dxa"/>
            <w:right w:w="15" w:type="dxa"/>
          </w:tblCellMar>
        </w:tblPrEx>
        <w:trPr>
          <w:trHeight w:val="942" w:hRule="atLeast"/>
        </w:trPr>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新楼消防控制室</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2.5</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24小时制</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sz w:val="22"/>
                <w:szCs w:val="22"/>
                <w:lang w:val="en-US" w:eastAsia="zh-CN"/>
              </w:rPr>
              <w:t>固定与机动结合</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4</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周岁以下（退伍军人年龄适度至</w:t>
            </w:r>
            <w:r>
              <w:rPr>
                <w:rFonts w:hint="eastAsia" w:ascii="仿宋" w:hAnsi="仿宋" w:eastAsia="仿宋" w:cs="宋体"/>
                <w:kern w:val="0"/>
                <w:sz w:val="22"/>
                <w:szCs w:val="22"/>
                <w:lang w:val="en-US" w:eastAsia="zh-CN"/>
              </w:rPr>
              <w:t>50</w:t>
            </w:r>
            <w:r>
              <w:rPr>
                <w:rFonts w:hint="eastAsia" w:ascii="仿宋" w:hAnsi="仿宋" w:eastAsia="仿宋" w:cs="宋体"/>
                <w:kern w:val="0"/>
                <w:sz w:val="22"/>
                <w:szCs w:val="22"/>
              </w:rPr>
              <w:t>周岁）</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1"/>
                <w:szCs w:val="21"/>
              </w:rPr>
              <w:t>身高167以上（晚班适度放宽至165CM及以上）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高中及以上</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五官端正、形象良好</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kern w:val="0"/>
                <w:sz w:val="22"/>
                <w:szCs w:val="22"/>
              </w:rPr>
            </w:pPr>
            <w:r>
              <w:rPr>
                <w:rFonts w:hint="eastAsia" w:ascii="仿宋" w:hAnsi="仿宋" w:eastAsia="仿宋" w:cs="宋体"/>
                <w:kern w:val="0"/>
                <w:sz w:val="22"/>
                <w:szCs w:val="22"/>
              </w:rPr>
              <w:t>持</w:t>
            </w:r>
            <w:r>
              <w:rPr>
                <w:rFonts w:hint="eastAsia" w:ascii="仿宋" w:hAnsi="仿宋" w:eastAsia="仿宋" w:cs="宋体"/>
                <w:kern w:val="0"/>
                <w:sz w:val="22"/>
                <w:szCs w:val="22"/>
                <w:lang w:val="en-US" w:eastAsia="zh-CN"/>
              </w:rPr>
              <w:t>中级及以上</w:t>
            </w:r>
            <w:r>
              <w:rPr>
                <w:rFonts w:hint="eastAsia" w:ascii="仿宋" w:hAnsi="仿宋" w:eastAsia="仿宋" w:cs="宋体"/>
                <w:kern w:val="0"/>
                <w:sz w:val="22"/>
                <w:szCs w:val="22"/>
              </w:rPr>
              <w:t>“消防设施操作员”证书</w:t>
            </w:r>
          </w:p>
        </w:tc>
      </w:tr>
    </w:tbl>
    <w:p>
      <w:pPr>
        <w:spacing w:line="560" w:lineRule="exact"/>
        <w:rPr>
          <w:rFonts w:hint="eastAsia" w:ascii="仿宋" w:hAnsi="仿宋" w:eastAsia="仿宋" w:cs="仿宋"/>
          <w:sz w:val="28"/>
          <w:szCs w:val="32"/>
        </w:rPr>
        <w:sectPr>
          <w:pgSz w:w="16838" w:h="11906" w:orient="landscape"/>
          <w:pgMar w:top="1236" w:right="1440" w:bottom="1236" w:left="1440" w:header="851" w:footer="992" w:gutter="0"/>
          <w:cols w:space="720" w:num="1"/>
          <w:docGrid w:type="linesAndChars" w:linePitch="312" w:charSpace="0"/>
        </w:sectPr>
      </w:pPr>
    </w:p>
    <w:p>
      <w:pPr>
        <w:spacing w:line="420" w:lineRule="exact"/>
        <w:rPr>
          <w:rFonts w:ascii="仿宋" w:hAnsi="仿宋" w:eastAsia="仿宋" w:cs="仿宋"/>
          <w:sz w:val="30"/>
          <w:szCs w:val="30"/>
        </w:rPr>
      </w:pPr>
      <w:r>
        <w:rPr>
          <w:rFonts w:hint="eastAsia" w:ascii="仿宋" w:hAnsi="仿宋" w:eastAsia="仿宋" w:cs="仿宋"/>
          <w:sz w:val="30"/>
          <w:szCs w:val="30"/>
        </w:rPr>
        <w:t>附件2：</w:t>
      </w:r>
    </w:p>
    <w:p>
      <w:pPr>
        <w:pStyle w:val="2"/>
        <w:spacing w:beforeAutospacing="0" w:afterAutospacing="0" w:line="560" w:lineRule="exact"/>
        <w:ind w:firstLine="720" w:firstLineChars="200"/>
        <w:jc w:val="center"/>
        <w:rPr>
          <w:rFonts w:cs="仿宋"/>
          <w:b w:val="0"/>
          <w:sz w:val="36"/>
          <w:szCs w:val="32"/>
        </w:rPr>
      </w:pPr>
      <w:r>
        <w:rPr>
          <w:rFonts w:hint="eastAsia" w:cs="仿宋"/>
          <w:b w:val="0"/>
          <w:sz w:val="36"/>
          <w:szCs w:val="32"/>
        </w:rPr>
        <w:t>南昌工学院外包保安奖惩规定</w:t>
      </w:r>
    </w:p>
    <w:p>
      <w:pPr>
        <w:spacing w:line="560" w:lineRule="exact"/>
      </w:pP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一、本规定适用于在南昌工学院承担安保服务外包的保安公司在职保安队员。</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二、在工作中表现突出，符合下列条件的给予奖励：</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保安队员在值班执勤过程中有抓获疑犯、防止案件和事故发生的事迹，以及在抢险救灾过程中表现突出、做出贡献的，由保安公司提出申请，保卫处核实后，报请分管校领导批准，按以下标准发给奖金。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1、现场抓获盗窃公私财物嫌疑人或追回公私财物价值1000元以上的，每人奖励100元。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2、在值班过程中，机警勇敢，及时正确处置火险苗头，防止灾害事故发生的，视情节每人次奖励100－300元。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3、在处置突发事件或抢险救灾中，忠于职守，积极参加抢救工作并做出实际贡献的，视情节每人次奖励200－500元。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保安公司集体表现突出，为学校做出较大贡献的，视情节每次奖励公司1000－5000元。</w:t>
      </w:r>
    </w:p>
    <w:p>
      <w:pPr>
        <w:spacing w:line="560" w:lineRule="exact"/>
        <w:ind w:firstLine="560" w:firstLineChars="200"/>
        <w:rPr>
          <w:rFonts w:ascii="仿宋" w:hAnsi="仿宋" w:eastAsia="仿宋" w:cs="仿宋"/>
          <w:b/>
          <w:sz w:val="28"/>
          <w:szCs w:val="32"/>
        </w:rPr>
      </w:pPr>
      <w:r>
        <w:rPr>
          <w:rFonts w:hint="eastAsia" w:ascii="仿宋" w:hAnsi="仿宋" w:eastAsia="仿宋" w:cs="仿宋"/>
          <w:sz w:val="28"/>
          <w:szCs w:val="32"/>
        </w:rPr>
        <w:t>以上奖励费用从校卫队创收经费或保卫处治安管理费中支出。</w:t>
      </w:r>
    </w:p>
    <w:p>
      <w:pPr>
        <w:spacing w:line="560" w:lineRule="exact"/>
        <w:ind w:firstLine="560" w:firstLineChars="200"/>
        <w:rPr>
          <w:rFonts w:ascii="仿宋" w:hAnsi="仿宋" w:eastAsia="仿宋" w:cs="仿宋"/>
          <w:sz w:val="28"/>
          <w:szCs w:val="32"/>
        </w:rPr>
      </w:pPr>
      <w:r>
        <w:rPr>
          <w:rFonts w:hint="eastAsia" w:ascii="仿宋" w:hAnsi="仿宋" w:eastAsia="仿宋" w:cs="仿宋"/>
          <w:b/>
          <w:sz w:val="28"/>
          <w:szCs w:val="32"/>
        </w:rPr>
        <w:t>三、</w:t>
      </w:r>
      <w:r>
        <w:rPr>
          <w:rFonts w:hint="eastAsia" w:ascii="仿宋" w:hAnsi="仿宋" w:eastAsia="仿宋" w:cs="仿宋"/>
          <w:sz w:val="28"/>
          <w:szCs w:val="32"/>
        </w:rPr>
        <w:t>对违反合同规定，有下列情形之一的，给予相应处罚：</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1、执勤期间不按规定着装、仪容不整、在岗位上吃东西的，进行批评教育，责令现场整改，不能现场整改的，在24小时内整改完毕并经保卫处带班领导验收。上述情况一个月每累计三次对保安公司罚款100元。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2、</w:t>
      </w:r>
      <w:r>
        <w:rPr>
          <w:rFonts w:hint="eastAsia" w:ascii="仿宋" w:hAnsi="仿宋" w:eastAsia="仿宋" w:cs="仿宋"/>
          <w:sz w:val="30"/>
          <w:szCs w:val="30"/>
        </w:rPr>
        <w:t>对</w:t>
      </w:r>
      <w:r>
        <w:rPr>
          <w:rFonts w:hint="eastAsia" w:ascii="仿宋" w:hAnsi="仿宋" w:eastAsia="仿宋" w:cs="仿宋"/>
          <w:sz w:val="28"/>
          <w:szCs w:val="32"/>
        </w:rPr>
        <w:t>保安人员执勤、生活、学习场所不及时维护，不能保持各个场所干净、卫生和整洁的，一个月每累计三次对保安公司罚款100元。</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3、执勤期间发生脱岗10分钟以上、睡岗，或用手机看视频、用耳机听音乐、玩游戏的，每查实一起对保安公司罚款100元。</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4、执勤中不认真负责，对明显可疑情况不及时处理，或发现问题不查处、不报告者，每核实一起对保安公司罚款200元。导致发生事故案件造成损失的，按本协议第六项第7条规定追究赔偿责任。 </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5、不按规定使用装备、器材的每次罚款50元，造成损失的，按本协议第六项第7条规定追究赔偿责任。</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6、不服从学校保卫处领导的管理和应急情况下工作安排的，每次对保安公司罚款200元。</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 xml:space="preserve">7、在学校提供的宿舍中擅自留宿外来人员的，每次对保安公司罚款200元。外来人员有涉恐嫌疑或犯罪在逃的，报公安机关追究其刑事责任。 </w:t>
      </w:r>
    </w:p>
    <w:p>
      <w:pPr>
        <w:spacing w:line="5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 xml:space="preserve">8、发生其它违法行为，情节严重，构成犯罪的，送交司法机关追究其刑事责任和民事赔偿责任。 </w:t>
      </w: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pPr>
    </w:p>
    <w:p>
      <w:pPr>
        <w:spacing w:line="560" w:lineRule="exact"/>
        <w:ind w:firstLine="560" w:firstLineChars="200"/>
        <w:rPr>
          <w:rFonts w:hint="eastAsia" w:ascii="仿宋" w:hAnsi="仿宋" w:eastAsia="仿宋" w:cs="仿宋"/>
          <w:sz w:val="28"/>
          <w:szCs w:val="32"/>
        </w:rPr>
        <w:sectPr>
          <w:footerReference r:id="rId4" w:type="default"/>
          <w:pgSz w:w="11906" w:h="16838"/>
          <w:pgMar w:top="1440" w:right="1236" w:bottom="1440" w:left="1236" w:header="851" w:footer="992" w:gutter="0"/>
          <w:cols w:space="720" w:num="1"/>
          <w:docGrid w:type="linesAndChars" w:linePitch="312" w:charSpace="0"/>
        </w:sectPr>
      </w:pPr>
    </w:p>
    <w:p>
      <w:pPr>
        <w:spacing w:line="560" w:lineRule="exact"/>
        <w:ind w:firstLine="560" w:firstLineChars="200"/>
        <w:rPr>
          <w:rFonts w:hint="eastAsia" w:ascii="仿宋" w:hAnsi="仿宋" w:eastAsia="仿宋" w:cs="仿宋"/>
          <w:sz w:val="28"/>
          <w:szCs w:val="32"/>
        </w:rPr>
      </w:pPr>
    </w:p>
    <w:sectPr>
      <w:pgSz w:w="11906" w:h="16838"/>
      <w:pgMar w:top="1440" w:right="1236" w:bottom="1440" w:left="123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TgxMzE2MTNkMzMxM2Q3N2M1NDVlYjczMmM2ZjIifQ=="/>
  </w:docVars>
  <w:rsids>
    <w:rsidRoot w:val="008920A8"/>
    <w:rsid w:val="00003DD8"/>
    <w:rsid w:val="00014221"/>
    <w:rsid w:val="000733DE"/>
    <w:rsid w:val="000967B0"/>
    <w:rsid w:val="000A20C7"/>
    <w:rsid w:val="00125A16"/>
    <w:rsid w:val="00141B3A"/>
    <w:rsid w:val="00160BB4"/>
    <w:rsid w:val="00174A99"/>
    <w:rsid w:val="001919F9"/>
    <w:rsid w:val="001B7C81"/>
    <w:rsid w:val="001C0A57"/>
    <w:rsid w:val="00201986"/>
    <w:rsid w:val="00207DD5"/>
    <w:rsid w:val="00233A5A"/>
    <w:rsid w:val="00237689"/>
    <w:rsid w:val="0024612A"/>
    <w:rsid w:val="0025309E"/>
    <w:rsid w:val="00276975"/>
    <w:rsid w:val="002B2179"/>
    <w:rsid w:val="002F65E9"/>
    <w:rsid w:val="003062B1"/>
    <w:rsid w:val="00315F01"/>
    <w:rsid w:val="00321BB5"/>
    <w:rsid w:val="0033099D"/>
    <w:rsid w:val="003B2D56"/>
    <w:rsid w:val="003D2080"/>
    <w:rsid w:val="003D5BD5"/>
    <w:rsid w:val="003E7214"/>
    <w:rsid w:val="00401575"/>
    <w:rsid w:val="00403A86"/>
    <w:rsid w:val="00405C39"/>
    <w:rsid w:val="00434A45"/>
    <w:rsid w:val="00474DAB"/>
    <w:rsid w:val="004B2A60"/>
    <w:rsid w:val="004D01A1"/>
    <w:rsid w:val="004D574D"/>
    <w:rsid w:val="004D6432"/>
    <w:rsid w:val="004E1F5A"/>
    <w:rsid w:val="005264C3"/>
    <w:rsid w:val="00527076"/>
    <w:rsid w:val="00527912"/>
    <w:rsid w:val="00572E6B"/>
    <w:rsid w:val="00581A0B"/>
    <w:rsid w:val="005856E2"/>
    <w:rsid w:val="0059548B"/>
    <w:rsid w:val="005D33C6"/>
    <w:rsid w:val="005E70C2"/>
    <w:rsid w:val="00626631"/>
    <w:rsid w:val="006759D6"/>
    <w:rsid w:val="0068796F"/>
    <w:rsid w:val="006C0417"/>
    <w:rsid w:val="006F2B80"/>
    <w:rsid w:val="00705BFA"/>
    <w:rsid w:val="00712F49"/>
    <w:rsid w:val="00721033"/>
    <w:rsid w:val="00745CF7"/>
    <w:rsid w:val="0077143F"/>
    <w:rsid w:val="007A1552"/>
    <w:rsid w:val="007F7C65"/>
    <w:rsid w:val="00850B17"/>
    <w:rsid w:val="00863D70"/>
    <w:rsid w:val="0086647C"/>
    <w:rsid w:val="00875695"/>
    <w:rsid w:val="0088160D"/>
    <w:rsid w:val="00883F7C"/>
    <w:rsid w:val="00891943"/>
    <w:rsid w:val="008920A8"/>
    <w:rsid w:val="00896AF1"/>
    <w:rsid w:val="008A2CF1"/>
    <w:rsid w:val="008A4169"/>
    <w:rsid w:val="008A790D"/>
    <w:rsid w:val="008B10EE"/>
    <w:rsid w:val="008D63F7"/>
    <w:rsid w:val="008E39F0"/>
    <w:rsid w:val="008E45E4"/>
    <w:rsid w:val="008E7FAC"/>
    <w:rsid w:val="00914A55"/>
    <w:rsid w:val="009718E0"/>
    <w:rsid w:val="00972880"/>
    <w:rsid w:val="00994D0F"/>
    <w:rsid w:val="0099641A"/>
    <w:rsid w:val="009B0AAC"/>
    <w:rsid w:val="009F2902"/>
    <w:rsid w:val="009F3F16"/>
    <w:rsid w:val="00A04EE1"/>
    <w:rsid w:val="00A24E43"/>
    <w:rsid w:val="00A710F2"/>
    <w:rsid w:val="00AA577B"/>
    <w:rsid w:val="00B41709"/>
    <w:rsid w:val="00B7556E"/>
    <w:rsid w:val="00B95E41"/>
    <w:rsid w:val="00BC5F03"/>
    <w:rsid w:val="00BD4762"/>
    <w:rsid w:val="00BD5A97"/>
    <w:rsid w:val="00BE1463"/>
    <w:rsid w:val="00BF5914"/>
    <w:rsid w:val="00C46F36"/>
    <w:rsid w:val="00C84941"/>
    <w:rsid w:val="00C87742"/>
    <w:rsid w:val="00C97BD8"/>
    <w:rsid w:val="00CC6957"/>
    <w:rsid w:val="00CD27FA"/>
    <w:rsid w:val="00CF48BB"/>
    <w:rsid w:val="00D048C8"/>
    <w:rsid w:val="00D14D97"/>
    <w:rsid w:val="00D21687"/>
    <w:rsid w:val="00D2734B"/>
    <w:rsid w:val="00D42230"/>
    <w:rsid w:val="00D51B4F"/>
    <w:rsid w:val="00D5363A"/>
    <w:rsid w:val="00D6135F"/>
    <w:rsid w:val="00DC6F5F"/>
    <w:rsid w:val="00DC7CB9"/>
    <w:rsid w:val="00DF2357"/>
    <w:rsid w:val="00E0017C"/>
    <w:rsid w:val="00E05186"/>
    <w:rsid w:val="00E5125F"/>
    <w:rsid w:val="00E75971"/>
    <w:rsid w:val="00ED65C6"/>
    <w:rsid w:val="00EE4720"/>
    <w:rsid w:val="00EF3982"/>
    <w:rsid w:val="00EF4D51"/>
    <w:rsid w:val="00F10D8C"/>
    <w:rsid w:val="00F14C72"/>
    <w:rsid w:val="00F15C22"/>
    <w:rsid w:val="00F512C3"/>
    <w:rsid w:val="00F6569A"/>
    <w:rsid w:val="00F833A4"/>
    <w:rsid w:val="00F8540A"/>
    <w:rsid w:val="00F86A43"/>
    <w:rsid w:val="00F86E3A"/>
    <w:rsid w:val="00FA7275"/>
    <w:rsid w:val="01585611"/>
    <w:rsid w:val="02CA1275"/>
    <w:rsid w:val="04811E56"/>
    <w:rsid w:val="04DB4CD8"/>
    <w:rsid w:val="058C5738"/>
    <w:rsid w:val="062206B3"/>
    <w:rsid w:val="0AE156F4"/>
    <w:rsid w:val="0BF7521D"/>
    <w:rsid w:val="0C6B508E"/>
    <w:rsid w:val="0FFD691A"/>
    <w:rsid w:val="10A546CB"/>
    <w:rsid w:val="114D6845"/>
    <w:rsid w:val="11786A37"/>
    <w:rsid w:val="17586428"/>
    <w:rsid w:val="18F14C0F"/>
    <w:rsid w:val="1BB46CE9"/>
    <w:rsid w:val="1D85586E"/>
    <w:rsid w:val="215C6719"/>
    <w:rsid w:val="216140D3"/>
    <w:rsid w:val="22CD0C66"/>
    <w:rsid w:val="234D2F18"/>
    <w:rsid w:val="236F15E5"/>
    <w:rsid w:val="23C5446A"/>
    <w:rsid w:val="25157174"/>
    <w:rsid w:val="26C82577"/>
    <w:rsid w:val="27A46BCC"/>
    <w:rsid w:val="29F01951"/>
    <w:rsid w:val="2AF90F6D"/>
    <w:rsid w:val="2BC8514F"/>
    <w:rsid w:val="2C0F3E87"/>
    <w:rsid w:val="2D7143C7"/>
    <w:rsid w:val="31307C16"/>
    <w:rsid w:val="32D63A15"/>
    <w:rsid w:val="38CF41FE"/>
    <w:rsid w:val="3A262FC2"/>
    <w:rsid w:val="3AFF6E40"/>
    <w:rsid w:val="3E7B7798"/>
    <w:rsid w:val="416B09CF"/>
    <w:rsid w:val="495A48B7"/>
    <w:rsid w:val="4AA90C84"/>
    <w:rsid w:val="4C376BA4"/>
    <w:rsid w:val="52377C72"/>
    <w:rsid w:val="52B569BD"/>
    <w:rsid w:val="56CE5FB1"/>
    <w:rsid w:val="58FF664B"/>
    <w:rsid w:val="5CB47B64"/>
    <w:rsid w:val="5DB17C42"/>
    <w:rsid w:val="61855F31"/>
    <w:rsid w:val="628A3456"/>
    <w:rsid w:val="6355368B"/>
    <w:rsid w:val="65246B67"/>
    <w:rsid w:val="65251563"/>
    <w:rsid w:val="67797AAD"/>
    <w:rsid w:val="6BC11CC1"/>
    <w:rsid w:val="6BF3713B"/>
    <w:rsid w:val="6F3F33AE"/>
    <w:rsid w:val="79A925A3"/>
    <w:rsid w:val="7E657528"/>
    <w:rsid w:val="7FD8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basedOn w:val="6"/>
    <w:link w:val="2"/>
    <w:qFormat/>
    <w:uiPriority w:val="99"/>
    <w:rPr>
      <w:rFonts w:ascii="宋体" w:hAnsi="宋体"/>
      <w:b/>
      <w:kern w:val="44"/>
      <w:sz w:val="48"/>
      <w:szCs w:val="4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4931</Words>
  <Characters>5049</Characters>
  <Lines>37</Lines>
  <Paragraphs>10</Paragraphs>
  <TotalTime>12</TotalTime>
  <ScaleCrop>false</ScaleCrop>
  <LinksUpToDate>false</LinksUpToDate>
  <CharactersWithSpaces>5134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2019-03-18T02:03:00Z</dcterms:created>
  <dc:creator>微软用户</dc:creator>
  <cp:lastModifiedBy>18762818688</cp:lastModifiedBy>
  <cp:lastPrinted>2019-02-24T01:09:00Z</cp:lastPrinted>
  <dcterms:modified xsi:type="dcterms:W3CDTF">2024-06-13T01:16:37Z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A5972BB2E1284238A41C1DE28335A616_13</vt:lpwstr>
  </property>
</Properties>
</file>